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A1864" w14:textId="77777777" w:rsidR="000B5371" w:rsidRDefault="00000000">
      <w:pPr>
        <w:spacing w:before="2880"/>
        <w:jc w:val="center"/>
      </w:pPr>
      <w:r>
        <w:rPr>
          <w:b/>
          <w:color w:val="1F4E78"/>
          <w:sz w:val="40"/>
        </w:rPr>
        <w:t>PORTFOLIO SCENARIO STRESS TEST</w:t>
      </w:r>
    </w:p>
    <w:p w14:paraId="726682A0" w14:textId="77777777" w:rsidR="000B5371" w:rsidRDefault="00000000">
      <w:pPr>
        <w:spacing w:after="240"/>
        <w:jc w:val="center"/>
      </w:pPr>
      <w:r>
        <w:rPr>
          <w:color w:val="2E5C8A"/>
          <w:sz w:val="32"/>
        </w:rPr>
        <w:t>64-Position Portfolio Analysis</w:t>
      </w:r>
    </w:p>
    <w:p w14:paraId="61AE2D35" w14:textId="262A35B3" w:rsidR="000B5371" w:rsidRDefault="00000000">
      <w:pPr>
        <w:spacing w:after="1440"/>
        <w:jc w:val="center"/>
      </w:pPr>
      <w:r>
        <w:rPr>
          <w:color w:val="666666"/>
          <w:sz w:val="24"/>
        </w:rPr>
        <w:t>Against 21 Economic Scenarios for 2026</w:t>
      </w:r>
      <w:r w:rsidR="00651314">
        <w:rPr>
          <w:color w:val="666666"/>
          <w:sz w:val="24"/>
        </w:rPr>
        <w:br/>
        <w:t>Performed by: Claude Sonnet 4.5</w:t>
      </w:r>
    </w:p>
    <w:p w14:paraId="72093878" w14:textId="77777777" w:rsidR="000B5371" w:rsidRDefault="00000000">
      <w:pPr>
        <w:spacing w:before="1440"/>
        <w:jc w:val="center"/>
      </w:pPr>
      <w:r>
        <w:t>Analysis Date: January 30, 2026</w:t>
      </w:r>
    </w:p>
    <w:p w14:paraId="66C85B36" w14:textId="77777777" w:rsidR="000B5371" w:rsidRDefault="00000000">
      <w:pPr>
        <w:spacing w:after="2880"/>
        <w:jc w:val="center"/>
      </w:pPr>
      <w:r>
        <w:rPr>
          <w:b/>
          <w:color w:val="C00000"/>
          <w:sz w:val="20"/>
        </w:rPr>
        <w:t>CONFIDENTIAL - For Financial Analyst Review</w:t>
      </w:r>
    </w:p>
    <w:p w14:paraId="2F601DFB" w14:textId="77777777" w:rsidR="000B5371" w:rsidRDefault="00000000">
      <w:r>
        <w:br w:type="page"/>
      </w:r>
    </w:p>
    <w:p w14:paraId="156AE739" w14:textId="77777777" w:rsidR="000B5371" w:rsidRDefault="00000000">
      <w:pPr>
        <w:pStyle w:val="Heading1"/>
      </w:pPr>
      <w:r>
        <w:lastRenderedPageBreak/>
        <w:t>EXECUTIVE SUMMARY</w:t>
      </w:r>
    </w:p>
    <w:p w14:paraId="413542A9" w14:textId="77777777" w:rsidR="000B5371" w:rsidRDefault="00000000" w:rsidP="00244386">
      <w:r>
        <w:t>This report presents a comprehensive scenario-based stress test of a 64-position investment portfolio against 21 distinct economic scenarios for 2026. The analysis integrates Bayesian probability weighting, infrastructure-macro constraints, and AI deployment dynamics to assess portfolio resilience across a wide distribution of potential outcomes.</w:t>
      </w:r>
    </w:p>
    <w:p w14:paraId="334B15C7" w14:textId="77777777" w:rsidR="000B5371" w:rsidRDefault="00000000">
      <w:pPr>
        <w:pStyle w:val="Heading2"/>
      </w:pPr>
      <w:r>
        <w:t>Key Findings</w:t>
      </w:r>
    </w:p>
    <w:tbl>
      <w:tblPr>
        <w:tblStyle w:val="LightGrid-Accent1"/>
        <w:tblW w:w="0" w:type="auto"/>
        <w:jc w:val="cente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ook w:val="04A0" w:firstRow="1" w:lastRow="0" w:firstColumn="1" w:lastColumn="0" w:noHBand="0" w:noVBand="1"/>
      </w:tblPr>
      <w:tblGrid>
        <w:gridCol w:w="4310"/>
        <w:gridCol w:w="4310"/>
      </w:tblGrid>
      <w:tr w:rsidR="000B5371" w14:paraId="334AE087" w14:textId="77777777" w:rsidTr="00586CA5">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320" w:type="dxa"/>
            <w:shd w:val="clear" w:color="auto" w:fill="2E5C8A"/>
            <w:vAlign w:val="center"/>
          </w:tcPr>
          <w:p w14:paraId="628F389A" w14:textId="77777777" w:rsidR="000B5371" w:rsidRDefault="00000000">
            <w:pPr>
              <w:jc w:val="center"/>
            </w:pPr>
            <w:r>
              <w:rPr>
                <w:color w:val="FFFFFF"/>
                <w:sz w:val="20"/>
              </w:rPr>
              <w:t>Metric</w:t>
            </w:r>
          </w:p>
        </w:tc>
        <w:tc>
          <w:tcPr>
            <w:tcW w:w="4320" w:type="dxa"/>
            <w:shd w:val="clear" w:color="auto" w:fill="2E5C8A"/>
            <w:vAlign w:val="center"/>
          </w:tcPr>
          <w:p w14:paraId="2B7B4676" w14:textId="77777777" w:rsidR="000B5371" w:rsidRDefault="00000000">
            <w:pPr>
              <w:jc w:val="center"/>
              <w:cnfStyle w:val="100000000000" w:firstRow="1" w:lastRow="0" w:firstColumn="0" w:lastColumn="0" w:oddVBand="0" w:evenVBand="0" w:oddHBand="0" w:evenHBand="0" w:firstRowFirstColumn="0" w:firstRowLastColumn="0" w:lastRowFirstColumn="0" w:lastRowLastColumn="0"/>
            </w:pPr>
            <w:r>
              <w:rPr>
                <w:color w:val="FFFFFF"/>
                <w:sz w:val="20"/>
              </w:rPr>
              <w:t>Value</w:t>
            </w:r>
          </w:p>
        </w:tc>
      </w:tr>
      <w:tr w:rsidR="000B5371" w:rsidRPr="00586CA5" w14:paraId="6A53B91D" w14:textId="77777777" w:rsidTr="00586CA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320" w:type="dxa"/>
            <w:vAlign w:val="center"/>
          </w:tcPr>
          <w:p w14:paraId="5A9475B4" w14:textId="77777777" w:rsidR="000B5371" w:rsidRPr="00586CA5" w:rsidRDefault="00000000">
            <w:pPr>
              <w:rPr>
                <w:b w:val="0"/>
                <w:bCs w:val="0"/>
              </w:rPr>
            </w:pPr>
            <w:r w:rsidRPr="00586CA5">
              <w:rPr>
                <w:b w:val="0"/>
                <w:bCs w:val="0"/>
                <w:sz w:val="20"/>
              </w:rPr>
              <w:t>Weighted Average Fit Score</w:t>
            </w:r>
          </w:p>
        </w:tc>
        <w:tc>
          <w:tcPr>
            <w:tcW w:w="4320" w:type="dxa"/>
            <w:shd w:val="clear" w:color="auto" w:fill="E7F3E7"/>
            <w:vAlign w:val="center"/>
          </w:tcPr>
          <w:p w14:paraId="0C74725B" w14:textId="77777777" w:rsidR="000B5371" w:rsidRPr="00586CA5" w:rsidRDefault="00000000">
            <w:pPr>
              <w:jc w:val="center"/>
              <w:cnfStyle w:val="000000100000" w:firstRow="0" w:lastRow="0" w:firstColumn="0" w:lastColumn="0" w:oddVBand="0" w:evenVBand="0" w:oddHBand="1" w:evenHBand="0" w:firstRowFirstColumn="0" w:firstRowLastColumn="0" w:lastRowFirstColumn="0" w:lastRowLastColumn="0"/>
            </w:pPr>
            <w:r w:rsidRPr="00586CA5">
              <w:rPr>
                <w:sz w:val="20"/>
              </w:rPr>
              <w:t>74.2 / 100</w:t>
            </w:r>
          </w:p>
        </w:tc>
      </w:tr>
      <w:tr w:rsidR="000B5371" w:rsidRPr="00586CA5" w14:paraId="2EA30234" w14:textId="77777777" w:rsidTr="00586CA5">
        <w:trPr>
          <w:cnfStyle w:val="000000010000" w:firstRow="0" w:lastRow="0" w:firstColumn="0" w:lastColumn="0" w:oddVBand="0" w:evenVBand="0" w:oddHBand="0" w:evenHBand="1"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320" w:type="dxa"/>
            <w:vAlign w:val="center"/>
          </w:tcPr>
          <w:p w14:paraId="28F1863F" w14:textId="77777777" w:rsidR="000B5371" w:rsidRPr="00586CA5" w:rsidRDefault="00000000">
            <w:pPr>
              <w:rPr>
                <w:b w:val="0"/>
                <w:bCs w:val="0"/>
              </w:rPr>
            </w:pPr>
            <w:r w:rsidRPr="00586CA5">
              <w:rPr>
                <w:b w:val="0"/>
                <w:bCs w:val="0"/>
                <w:sz w:val="20"/>
              </w:rPr>
              <w:t>Weighted Average Projected Return</w:t>
            </w:r>
          </w:p>
        </w:tc>
        <w:tc>
          <w:tcPr>
            <w:tcW w:w="4320" w:type="dxa"/>
            <w:shd w:val="clear" w:color="auto" w:fill="E7F3E7"/>
            <w:vAlign w:val="center"/>
          </w:tcPr>
          <w:p w14:paraId="54B7EA43" w14:textId="77777777" w:rsidR="000B5371" w:rsidRPr="00586CA5" w:rsidRDefault="00000000">
            <w:pPr>
              <w:jc w:val="center"/>
              <w:cnfStyle w:val="000000010000" w:firstRow="0" w:lastRow="0" w:firstColumn="0" w:lastColumn="0" w:oddVBand="0" w:evenVBand="0" w:oddHBand="0" w:evenHBand="1" w:firstRowFirstColumn="0" w:firstRowLastColumn="0" w:lastRowFirstColumn="0" w:lastRowLastColumn="0"/>
            </w:pPr>
            <w:r w:rsidRPr="00586CA5">
              <w:rPr>
                <w:sz w:val="20"/>
              </w:rPr>
              <w:t>+26.8%</w:t>
            </w:r>
          </w:p>
        </w:tc>
      </w:tr>
      <w:tr w:rsidR="000B5371" w:rsidRPr="00586CA5" w14:paraId="3496D656" w14:textId="77777777" w:rsidTr="00586CA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320" w:type="dxa"/>
            <w:vAlign w:val="center"/>
          </w:tcPr>
          <w:p w14:paraId="3E985404" w14:textId="77777777" w:rsidR="000B5371" w:rsidRPr="00586CA5" w:rsidRDefault="00000000">
            <w:pPr>
              <w:rPr>
                <w:b w:val="0"/>
                <w:bCs w:val="0"/>
              </w:rPr>
            </w:pPr>
            <w:r w:rsidRPr="00586CA5">
              <w:rPr>
                <w:b w:val="0"/>
                <w:bCs w:val="0"/>
                <w:sz w:val="20"/>
              </w:rPr>
              <w:t>Probability-Adjusted Expected Range</w:t>
            </w:r>
          </w:p>
        </w:tc>
        <w:tc>
          <w:tcPr>
            <w:tcW w:w="4320" w:type="dxa"/>
            <w:vAlign w:val="center"/>
          </w:tcPr>
          <w:p w14:paraId="74DBF019" w14:textId="77777777" w:rsidR="000B5371" w:rsidRPr="00586CA5" w:rsidRDefault="00000000">
            <w:pPr>
              <w:jc w:val="center"/>
              <w:cnfStyle w:val="000000100000" w:firstRow="0" w:lastRow="0" w:firstColumn="0" w:lastColumn="0" w:oddVBand="0" w:evenVBand="0" w:oddHBand="1" w:evenHBand="0" w:firstRowFirstColumn="0" w:firstRowLastColumn="0" w:lastRowFirstColumn="0" w:lastRowLastColumn="0"/>
            </w:pPr>
            <w:r w:rsidRPr="00586CA5">
              <w:rPr>
                <w:sz w:val="20"/>
              </w:rPr>
              <w:t>+18.3% to +35.1%</w:t>
            </w:r>
          </w:p>
        </w:tc>
      </w:tr>
      <w:tr w:rsidR="000B5371" w:rsidRPr="00586CA5" w14:paraId="22F79C82" w14:textId="77777777" w:rsidTr="00586CA5">
        <w:trPr>
          <w:cnfStyle w:val="000000010000" w:firstRow="0" w:lastRow="0" w:firstColumn="0" w:lastColumn="0" w:oddVBand="0" w:evenVBand="0" w:oddHBand="0" w:evenHBand="1"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320" w:type="dxa"/>
            <w:vAlign w:val="center"/>
          </w:tcPr>
          <w:p w14:paraId="19A96042" w14:textId="77777777" w:rsidR="000B5371" w:rsidRPr="00586CA5" w:rsidRDefault="00000000">
            <w:pPr>
              <w:rPr>
                <w:b w:val="0"/>
                <w:bCs w:val="0"/>
              </w:rPr>
            </w:pPr>
            <w:r w:rsidRPr="00586CA5">
              <w:rPr>
                <w:b w:val="0"/>
                <w:bCs w:val="0"/>
                <w:sz w:val="20"/>
              </w:rPr>
              <w:t>Scenarios with Positive Returns</w:t>
            </w:r>
          </w:p>
        </w:tc>
        <w:tc>
          <w:tcPr>
            <w:tcW w:w="4320" w:type="dxa"/>
            <w:vAlign w:val="center"/>
          </w:tcPr>
          <w:p w14:paraId="11DE949A" w14:textId="77777777" w:rsidR="000B5371" w:rsidRPr="00586CA5" w:rsidRDefault="00000000">
            <w:pPr>
              <w:jc w:val="center"/>
              <w:cnfStyle w:val="000000010000" w:firstRow="0" w:lastRow="0" w:firstColumn="0" w:lastColumn="0" w:oddVBand="0" w:evenVBand="0" w:oddHBand="0" w:evenHBand="1" w:firstRowFirstColumn="0" w:firstRowLastColumn="0" w:lastRowFirstColumn="0" w:lastRowLastColumn="0"/>
            </w:pPr>
            <w:r w:rsidRPr="00586CA5">
              <w:rPr>
                <w:sz w:val="20"/>
              </w:rPr>
              <w:t>19 of 21 (94.2% probability)</w:t>
            </w:r>
          </w:p>
        </w:tc>
      </w:tr>
    </w:tbl>
    <w:p w14:paraId="103BE26C" w14:textId="77777777" w:rsidR="000B5371" w:rsidRDefault="00000000">
      <w:pPr>
        <w:spacing w:before="360" w:after="180"/>
      </w:pPr>
      <w:r>
        <w:rPr>
          <w:b/>
          <w:color w:val="2E7D32"/>
          <w:sz w:val="26"/>
        </w:rPr>
        <w:t>Portfolio Grade: A (Excellent)</w:t>
      </w:r>
    </w:p>
    <w:p w14:paraId="646A0FBD" w14:textId="77777777" w:rsidR="000B5371" w:rsidRDefault="00000000">
      <w:r>
        <w:t>The portfolio demonstrates exceptional alignment with the probability-weighted scenario distribution, particularly in high-probability infrastructure-constrained scenarios. The 68.7% allocation to AI infrastructure and power/grid themes directly corresponds with binding constraints identified across 18 of 21 scenarios.</w:t>
      </w:r>
    </w:p>
    <w:p w14:paraId="53EAC2F0" w14:textId="77777777" w:rsidR="000B5371" w:rsidRDefault="00000000">
      <w:pPr>
        <w:pStyle w:val="Heading2"/>
      </w:pPr>
      <w:r>
        <w:t>Critical Insights</w:t>
      </w:r>
    </w:p>
    <w:p w14:paraId="70456600" w14:textId="77777777" w:rsidR="000B5371" w:rsidRDefault="00000000">
      <w:r>
        <w:rPr>
          <w:b/>
        </w:rPr>
        <w:t xml:space="preserve">Base Case Dominance: </w:t>
      </w:r>
      <w:r>
        <w:t>Portfolio scores 82-88 in the four highest-probability base case scenarios (41.1% combined), with expected returns of +28-32%.</w:t>
      </w:r>
    </w:p>
    <w:p w14:paraId="3166EEA9" w14:textId="77777777" w:rsidR="000B5371" w:rsidRDefault="00000000">
      <w:r>
        <w:rPr>
          <w:b/>
        </w:rPr>
        <w:t xml:space="preserve">Productivity Upside Capture: </w:t>
      </w:r>
      <w:r>
        <w:t>Portfolio achieves 90-94 fit scores in orchestration breakthrough scenarios (12.3% probability), with projected returns of +36-40%.</w:t>
      </w:r>
    </w:p>
    <w:p w14:paraId="54DE8902" w14:textId="77777777" w:rsidR="000B5371" w:rsidRDefault="00000000">
      <w:r>
        <w:rPr>
          <w:b/>
        </w:rPr>
        <w:t xml:space="preserve">Downside Protection: </w:t>
      </w:r>
      <w:r>
        <w:t>Only 5.8% of probability mass yields negative returns, with tail-risk scenarios limited to stagflationary environments.</w:t>
      </w:r>
    </w:p>
    <w:p w14:paraId="783AF3BB" w14:textId="77777777" w:rsidR="000B5371" w:rsidRDefault="00000000">
      <w:r>
        <w:rPr>
          <w:b/>
        </w:rPr>
        <w:t xml:space="preserve">Market Outperformance: </w:t>
      </w:r>
      <w:r>
        <w:t>The +26.8% weighted return represents 2.2x the S&amp;P 500's expected 10-12% baseline for 2026.</w:t>
      </w:r>
    </w:p>
    <w:p w14:paraId="08A53D41" w14:textId="77777777" w:rsidR="000B5371" w:rsidRDefault="00000000">
      <w:r>
        <w:br w:type="page"/>
      </w:r>
    </w:p>
    <w:p w14:paraId="462BA4E1" w14:textId="77777777" w:rsidR="000B5371" w:rsidRDefault="00000000">
      <w:pPr>
        <w:pStyle w:val="Heading1"/>
      </w:pPr>
      <w:r>
        <w:lastRenderedPageBreak/>
        <w:t>METHODOLOGY</w:t>
      </w:r>
    </w:p>
    <w:p w14:paraId="13612368" w14:textId="77777777" w:rsidR="000B5371" w:rsidRDefault="00000000">
      <w:pPr>
        <w:pStyle w:val="Heading2"/>
      </w:pPr>
      <w:r>
        <w:t>Scenario Framework</w:t>
      </w:r>
    </w:p>
    <w:p w14:paraId="10981431" w14:textId="77777777" w:rsidR="000B5371" w:rsidRDefault="00000000">
      <w:r>
        <w:t>The 21 scenarios were generated using morphological analysis and Bayesian causal chains by four advanced AI systems (Google Gemini, OpenAI ChatGPT, xAI Grok, Anthropic Claude). Each scenario represents a distinct pathway through 2026, differentiated by which constraint—monetary policy, AI scaling, physical infrastructure, labor markets, or energy—becomes binding first.</w:t>
      </w:r>
    </w:p>
    <w:p w14:paraId="354B5340" w14:textId="77777777" w:rsidR="000B5371" w:rsidRDefault="00000000">
      <w:pPr>
        <w:pStyle w:val="Heading3"/>
      </w:pPr>
      <w:r>
        <w:t>Probability Normalization</w:t>
      </w:r>
    </w:p>
    <w:p w14:paraId="25C5819D" w14:textId="77777777" w:rsidR="000B5371" w:rsidRDefault="00000000">
      <w:r>
        <w:t>Original scenario probabilities summed to 463% due to independent generation across AI systems. All probabilities were normalized by dividing by 4.63 to sum to 100%, ensuring proper probability weighting for expected value calculations.</w:t>
      </w:r>
    </w:p>
    <w:p w14:paraId="250A22D4" w14:textId="77777777" w:rsidR="000B5371" w:rsidRDefault="00000000">
      <w:pPr>
        <w:pStyle w:val="Heading3"/>
      </w:pPr>
      <w:r>
        <w:t>Scoring Methodology</w:t>
      </w:r>
    </w:p>
    <w:p w14:paraId="10E6DABD" w14:textId="77777777" w:rsidR="000B5371" w:rsidRDefault="00000000">
      <w:r>
        <w:rPr>
          <w:b/>
        </w:rPr>
        <w:t xml:space="preserve">Fit Score (0-100): </w:t>
      </w:r>
      <w:r>
        <w:t>Assesses how well the portfolio's current composition, sector allocations, and strategic positioning align with thriving in each scenario. Considers exposure to key variables including energy demands, AI integration, infrastructure dependencies, and monetary policy impacts.</w:t>
      </w:r>
    </w:p>
    <w:p w14:paraId="03622F39" w14:textId="77777777" w:rsidR="000B5371" w:rsidRDefault="00000000" w:rsidP="00541AD1">
      <w:r>
        <w:rPr>
          <w:b/>
        </w:rPr>
        <w:t xml:space="preserve">Projected Return: </w:t>
      </w:r>
      <w:r>
        <w:t>Estimates total shareholder return (TSR) for 2026 under each scenario, incorporating price appreciation, dividends, and valuation multiple adjustments. Returns capped at +50% upside and -30% downside unless extreme circumstances warrant exceptions.</w:t>
      </w:r>
    </w:p>
    <w:p w14:paraId="68BA57C6" w14:textId="77777777" w:rsidR="000B5371" w:rsidRDefault="00000000">
      <w:r>
        <w:br w:type="page"/>
      </w:r>
    </w:p>
    <w:p w14:paraId="4FC63E5D" w14:textId="77777777" w:rsidR="000B5371" w:rsidRDefault="00000000">
      <w:pPr>
        <w:pStyle w:val="Heading1"/>
      </w:pPr>
      <w:r>
        <w:lastRenderedPageBreak/>
        <w:t>SCENARIO SUMMARY</w:t>
      </w:r>
    </w:p>
    <w:p w14:paraId="58B81CF7" w14:textId="77CFC0FC" w:rsidR="00874379" w:rsidRPr="002269DB" w:rsidRDefault="00874379" w:rsidP="00541AD1">
      <w:r w:rsidRPr="002269DB">
        <w:t xml:space="preserve">This report </w:t>
      </w:r>
      <w:r w:rsidR="00ED22F8">
        <w:t>documents AI’s assessment for</w:t>
      </w:r>
      <w:r w:rsidRPr="002269DB">
        <w:t xml:space="preserve"> a structured set of 2026 macro “thesis scenarios” intended to stress test individual stocks under multiple plausible economic and technology-driven paths. The scenarios translate a single base outlook into a probability-weighted distribution of outcomes by varying the key constraints most likely to gate performance in 2026</w:t>
      </w:r>
      <w:r w:rsidR="005B39FF">
        <w:t xml:space="preserve"> - </w:t>
      </w:r>
      <w:r w:rsidRPr="002269DB">
        <w:t>monetary policy dynamics, inflation persistence, AI capex and ROI discipline, grid/energy bottlenecks, infrastructure execution, labor and productivity responses, and policy/regulatory friction. Each scenario is expressed as a clear narrative (what happens and why), assigned an explicit probability, and normalized to ensure the full scenario set sums to 100%, enabling consistent weighting across analyses.</w:t>
      </w:r>
    </w:p>
    <w:p w14:paraId="2A3C14BC" w14:textId="58879750" w:rsidR="00874379" w:rsidRDefault="00874379" w:rsidP="00541AD1">
      <w:r w:rsidRPr="002269DB">
        <w:t xml:space="preserve">The scenario framework is designed to be directly actionable for equity stress testing. For each stock, the analyst maps scenario conditions to company-specific transmission channels (demand sensitivity, pricing power, cost structure, balance-sheet resilience, capex exposure, regulatory risk, and strategic positioning) and produces a scenario-level “fit” assessment and return implications. Aggregating across scenarios yields a probability-weighted view of expected performance, downside risk, and upside optionality, while preserving tail cases for risk management. The resulting output supports disciplined comparison across names, highlights which firms are robust to the most likely constraints, and identifies where portfolio concentration is unintentionally biased toward </w:t>
      </w:r>
      <w:proofErr w:type="gramStart"/>
      <w:r w:rsidRPr="002269DB">
        <w:t xml:space="preserve">particular </w:t>
      </w:r>
      <w:r w:rsidR="001F6A72" w:rsidRPr="002269DB">
        <w:t>macro</w:t>
      </w:r>
      <w:r w:rsidR="001F6A72">
        <w:t>-</w:t>
      </w:r>
      <w:proofErr w:type="gramEnd"/>
      <w:r w:rsidR="001F6A72">
        <w:t>outcomes</w:t>
      </w:r>
      <w:r w:rsidRPr="002269DB">
        <w:t>.</w:t>
      </w:r>
    </w:p>
    <w:p w14:paraId="42DF45A9" w14:textId="5DF44471" w:rsidR="00874379" w:rsidRDefault="00874379" w:rsidP="00541AD1">
      <w:r>
        <w:t>The following sections provide the thesis scenarios developed by 5 AI tools: 1) Google Gemini, 2) OpenAI ChatGPT, 3) xAI Grok, and 4) Anthropic Claude.  The report concludes with a summary table of the 21 thesis scenarios generated with a summary graphic of a probability fan chart outcome index (upside/downside).</w:t>
      </w:r>
    </w:p>
    <w:p w14:paraId="6FFDDCDB" w14:textId="0C2462C3" w:rsidR="00ED22F8" w:rsidRPr="00ED22F8" w:rsidRDefault="00ED22F8" w:rsidP="00ED33BE">
      <w:pPr>
        <w:tabs>
          <w:tab w:val="left" w:pos="4993"/>
        </w:tabs>
        <w:rPr>
          <w:b/>
          <w:bCs/>
          <w:sz w:val="20"/>
          <w:szCs w:val="20"/>
        </w:rPr>
      </w:pPr>
      <w:r w:rsidRPr="00B0794C">
        <w:rPr>
          <w:rStyle w:val="Heading3Char"/>
          <w:sz w:val="24"/>
          <w:szCs w:val="24"/>
        </w:rPr>
        <w:t>Sequence 1: The "Gridlock" Base Case (Gemini)</w:t>
      </w:r>
      <w:r w:rsidR="007C3275" w:rsidRPr="00B0794C">
        <w:rPr>
          <w:rStyle w:val="Heading3Char"/>
          <w:sz w:val="24"/>
          <w:szCs w:val="24"/>
        </w:rPr>
        <w:br/>
      </w:r>
      <w:r w:rsidR="00ED33BE">
        <w:rPr>
          <w:b/>
          <w:bCs/>
          <w:sz w:val="20"/>
          <w:szCs w:val="20"/>
        </w:rPr>
        <w:t>Normalized Probability 11.9%</w:t>
      </w:r>
    </w:p>
    <w:p w14:paraId="7546B75D" w14:textId="7D3679EB" w:rsidR="00ED22F8" w:rsidRPr="00991298" w:rsidRDefault="00ED22F8" w:rsidP="00541AD1">
      <w:r w:rsidRPr="00586CA5">
        <w:rPr>
          <w:b/>
          <w:bCs/>
        </w:rPr>
        <w:t>Narrative</w:t>
      </w:r>
      <w:r w:rsidRPr="00991298">
        <w:t>: AI infrastructure investment remains strong but faces a "megawatt ceiling". Regional brownouts and 5-year interconnection queues delay the largest data center projects, forcing a rotation of investment into smaller, decentralized "Edge AI" and highly efficient custom silicon.</w:t>
      </w:r>
    </w:p>
    <w:p w14:paraId="46FC3350" w14:textId="1F7372B4" w:rsidR="00ED22F8" w:rsidRDefault="00ED22F8" w:rsidP="00541AD1">
      <w:r w:rsidRPr="00586CA5">
        <w:rPr>
          <w:b/>
          <w:bCs/>
        </w:rPr>
        <w:t>Bayesian Rationale</w:t>
      </w:r>
      <w:r w:rsidRPr="00991298">
        <w:t>: If U.S. power demand for data centers reaches 35 GW (6.5% of total grid load) as predicted for 2026, then regional infrastructure readiness becomes the primary bottleneck. This shifts the focus from raw model scaling to energy-efficient orchestration, slowing the path to full AGI while stabilizing the macroeconomy against an "AI bubble" burst.</w:t>
      </w:r>
    </w:p>
    <w:p w14:paraId="36DF9E18" w14:textId="77777777" w:rsidR="00CE10D6" w:rsidRDefault="00CE10D6" w:rsidP="00ED22F8">
      <w:pPr>
        <w:rPr>
          <w:rStyle w:val="Heading3Char"/>
        </w:rPr>
      </w:pPr>
    </w:p>
    <w:p w14:paraId="71858901" w14:textId="77777777" w:rsidR="00CE10D6" w:rsidRDefault="00CE10D6" w:rsidP="00ED22F8">
      <w:pPr>
        <w:rPr>
          <w:rStyle w:val="Heading3Char"/>
        </w:rPr>
      </w:pPr>
    </w:p>
    <w:p w14:paraId="714649AD" w14:textId="3BC0E106" w:rsidR="007C3275" w:rsidRPr="00ED22F8" w:rsidRDefault="00ED22F8" w:rsidP="00ED22F8">
      <w:pPr>
        <w:rPr>
          <w:b/>
          <w:bCs/>
          <w:sz w:val="20"/>
          <w:szCs w:val="20"/>
        </w:rPr>
      </w:pPr>
      <w:r w:rsidRPr="00B0794C">
        <w:rPr>
          <w:rStyle w:val="Heading3Char"/>
          <w:sz w:val="24"/>
          <w:szCs w:val="24"/>
        </w:rPr>
        <w:lastRenderedPageBreak/>
        <w:t>Sequence 2: Multidimensional Polarization (The "K-Shaped" Fracturing; Gemini)</w:t>
      </w:r>
      <w:r w:rsidR="007C3275" w:rsidRPr="00B0794C">
        <w:rPr>
          <w:rStyle w:val="Heading3Char"/>
          <w:sz w:val="24"/>
          <w:szCs w:val="24"/>
        </w:rPr>
        <w:br/>
      </w:r>
      <w:r w:rsidR="007C3275">
        <w:rPr>
          <w:b/>
          <w:bCs/>
          <w:sz w:val="20"/>
          <w:szCs w:val="20"/>
        </w:rPr>
        <w:t>Normalized Probability: 8.6%</w:t>
      </w:r>
    </w:p>
    <w:p w14:paraId="6190D129" w14:textId="1B2F63C6" w:rsidR="00ED22F8" w:rsidRPr="00991298" w:rsidRDefault="00ED22F8" w:rsidP="00541AD1">
      <w:r w:rsidRPr="00586CA5">
        <w:rPr>
          <w:b/>
          <w:bCs/>
        </w:rPr>
        <w:t>Narrative</w:t>
      </w:r>
      <w:r w:rsidRPr="00991298">
        <w:t xml:space="preserve">: The 2026 economy splits into two distinct realities. The "AI-Gilded" sector experiences hyper-growth, high wages, and capital abundance. Simultaneously, the broader "Legacy Economy" faces 35% recessionary risk as it struggles with high real rates, persistent services inflation (2.5-3.0%), and a labor market weakened by the initial displacement of mid-skill white-collar roles. </w:t>
      </w:r>
    </w:p>
    <w:p w14:paraId="3A25960B" w14:textId="01D1F2F5" w:rsidR="00ED22F8" w:rsidRDefault="00ED22F8" w:rsidP="00541AD1">
      <w:r w:rsidRPr="00586CA5">
        <w:rPr>
          <w:b/>
          <w:bCs/>
        </w:rPr>
        <w:t>Bayesian Rationale</w:t>
      </w:r>
      <w:r w:rsidRPr="00991298">
        <w:t xml:space="preserve">: If AI CapEx remains high but "Infrastructure Gating" prevents wide-scale deployment (Event A), then productivity gains remain concentrated in a small number of "AI-native" firms (Event B). This concentration makes a wider economic surge less likely, leading to a 40% probability of a polarized "stagnation for the many, boom for the few" outcome. </w:t>
      </w:r>
    </w:p>
    <w:p w14:paraId="3A7EA140" w14:textId="4F3447A6" w:rsidR="00ED22F8" w:rsidRPr="00ED22F8" w:rsidRDefault="00ED22F8" w:rsidP="00541AD1">
      <w:r w:rsidRPr="00586CA5">
        <w:rPr>
          <w:b/>
          <w:bCs/>
        </w:rPr>
        <w:t>Hard Limit:</w:t>
      </w:r>
      <w:r w:rsidRPr="00991298">
        <w:t xml:space="preserve"> Consumption Softness. The sequence pivots or ends when the "Legacy Economy's" loss of purchasing power begins to drag down the earnings of the AI sector, forcing a broader market correction. </w:t>
      </w:r>
    </w:p>
    <w:p w14:paraId="5018BC19" w14:textId="630B78F1" w:rsidR="00ED22F8" w:rsidRPr="00ED22F8" w:rsidRDefault="00ED22F8" w:rsidP="00ED22F8">
      <w:pPr>
        <w:rPr>
          <w:b/>
          <w:bCs/>
          <w:sz w:val="20"/>
          <w:szCs w:val="20"/>
        </w:rPr>
      </w:pPr>
      <w:r w:rsidRPr="00B0794C">
        <w:rPr>
          <w:rStyle w:val="Heading3Char"/>
          <w:sz w:val="24"/>
          <w:szCs w:val="24"/>
        </w:rPr>
        <w:t>Sequence 3: The "Productivity Surge" Upside (Gemini)</w:t>
      </w:r>
      <w:r w:rsidR="007C3275" w:rsidRPr="00B0794C">
        <w:rPr>
          <w:rStyle w:val="Heading3Char"/>
          <w:sz w:val="24"/>
          <w:szCs w:val="24"/>
        </w:rPr>
        <w:br/>
      </w:r>
      <w:r w:rsidR="007C3275">
        <w:rPr>
          <w:b/>
          <w:bCs/>
          <w:sz w:val="20"/>
          <w:szCs w:val="20"/>
        </w:rPr>
        <w:t>Normalized Probability: 4.3%</w:t>
      </w:r>
    </w:p>
    <w:p w14:paraId="589B15CB" w14:textId="31B0F389" w:rsidR="00ED22F8" w:rsidRPr="00991298" w:rsidRDefault="00ED22F8" w:rsidP="00541AD1">
      <w:r w:rsidRPr="00586CA5">
        <w:rPr>
          <w:b/>
          <w:bCs/>
        </w:rPr>
        <w:t>Narrative</w:t>
      </w:r>
      <w:r w:rsidRPr="00991298">
        <w:t>: Breakthroughs in agentic AI (AI "workers") allow companies to bypass labor shortages in white-collar roles. These gains become visible in official statistics by late 2026, prompting the Fed to maintain a "cautious pause" as growth accelerates without re-igniting inflation.</w:t>
      </w:r>
    </w:p>
    <w:p w14:paraId="23ADFF86" w14:textId="6C4306F6" w:rsidR="00ED22F8" w:rsidRPr="00991298" w:rsidRDefault="00ED22F8" w:rsidP="00541AD1">
      <w:r w:rsidRPr="00586CA5">
        <w:rPr>
          <w:b/>
          <w:bCs/>
        </w:rPr>
        <w:t>Bayesian Rationale:</w:t>
      </w:r>
      <w:r w:rsidRPr="00991298">
        <w:t xml:space="preserve"> If businesses successfully move from "AI experimentation" to "enterprise-wide deployment" (leveraging productivity gains of 5-7%), then the deflationary impact of AI could offset rising costs from tariffs and fragmented supply chains.</w:t>
      </w:r>
    </w:p>
    <w:p w14:paraId="127C764E" w14:textId="20DF40FD" w:rsidR="00ED22F8" w:rsidRPr="00ED22F8" w:rsidRDefault="00ED22F8" w:rsidP="00ED22F8">
      <w:pPr>
        <w:rPr>
          <w:b/>
          <w:bCs/>
          <w:sz w:val="20"/>
          <w:szCs w:val="20"/>
        </w:rPr>
      </w:pPr>
      <w:r w:rsidRPr="00B0794C">
        <w:rPr>
          <w:rStyle w:val="Heading3Char"/>
          <w:sz w:val="24"/>
          <w:szCs w:val="24"/>
        </w:rPr>
        <w:t>Sequence 4: The "CapEx Reckoning" Correction (Gemini)</w:t>
      </w:r>
      <w:r w:rsidR="007C3275" w:rsidRPr="00B0794C">
        <w:rPr>
          <w:rStyle w:val="Heading3Char"/>
          <w:sz w:val="24"/>
          <w:szCs w:val="24"/>
        </w:rPr>
        <w:br/>
      </w:r>
      <w:r w:rsidR="007C3275">
        <w:rPr>
          <w:b/>
          <w:bCs/>
          <w:sz w:val="20"/>
          <w:szCs w:val="20"/>
        </w:rPr>
        <w:t>Normalized Probability: 3.2%</w:t>
      </w:r>
    </w:p>
    <w:p w14:paraId="06D387E0" w14:textId="1785B466" w:rsidR="00ED22F8" w:rsidRPr="00991298" w:rsidRDefault="00ED22F8" w:rsidP="00541AD1">
      <w:r w:rsidRPr="00586CA5">
        <w:rPr>
          <w:b/>
          <w:bCs/>
        </w:rPr>
        <w:t>Narrative</w:t>
      </w:r>
      <w:r w:rsidRPr="00991298">
        <w:t>: An "AI mini-cycle" correction occurs as investors demand immediate ROI that current software cannot deliver. Big Tech reduces hardware spending by 15-20%, leading to a temporary valuation reset in semiconductors while the industry pivots toward solving data bottlenecks.</w:t>
      </w:r>
    </w:p>
    <w:p w14:paraId="18A35212" w14:textId="52396F0C" w:rsidR="00ED22F8" w:rsidRPr="00991298" w:rsidRDefault="00ED22F8" w:rsidP="00541AD1">
      <w:r w:rsidRPr="00586CA5">
        <w:rPr>
          <w:b/>
          <w:bCs/>
        </w:rPr>
        <w:t>Bayesian Rationale:</w:t>
      </w:r>
      <w:r w:rsidRPr="00991298">
        <w:t xml:space="preserve"> If the $1 trillion gap between planned spending and public market funding capacity is not bridged by tangible revenue gains, then credit stresses and a market correction are likely by the second half of 2026.</w:t>
      </w:r>
    </w:p>
    <w:p w14:paraId="6EEAA83B" w14:textId="77777777" w:rsidR="00B0794C" w:rsidRDefault="00B0794C" w:rsidP="00ED22F8">
      <w:pPr>
        <w:rPr>
          <w:rStyle w:val="Heading3Char"/>
          <w:sz w:val="24"/>
          <w:szCs w:val="24"/>
        </w:rPr>
      </w:pPr>
    </w:p>
    <w:p w14:paraId="5180A748" w14:textId="3E877D9C" w:rsidR="00ED22F8" w:rsidRPr="00ED22F8" w:rsidRDefault="00ED22F8" w:rsidP="00ED22F8">
      <w:pPr>
        <w:rPr>
          <w:b/>
          <w:bCs/>
          <w:sz w:val="20"/>
          <w:szCs w:val="20"/>
        </w:rPr>
      </w:pPr>
      <w:r w:rsidRPr="00B0794C">
        <w:rPr>
          <w:rStyle w:val="Heading3Char"/>
          <w:sz w:val="24"/>
          <w:szCs w:val="24"/>
        </w:rPr>
        <w:lastRenderedPageBreak/>
        <w:t>Sequence 5: The "Stagflationary Shock" Downside (Gemini)</w:t>
      </w:r>
      <w:r w:rsidR="007C3275" w:rsidRPr="00B0794C">
        <w:rPr>
          <w:rStyle w:val="Heading3Char"/>
          <w:sz w:val="24"/>
          <w:szCs w:val="24"/>
        </w:rPr>
        <w:br/>
      </w:r>
      <w:r w:rsidR="007C3275">
        <w:rPr>
          <w:b/>
          <w:bCs/>
          <w:sz w:val="20"/>
          <w:szCs w:val="20"/>
        </w:rPr>
        <w:t xml:space="preserve">Normalized Probability: </w:t>
      </w:r>
      <w:r w:rsidR="00817887">
        <w:rPr>
          <w:b/>
          <w:bCs/>
          <w:sz w:val="20"/>
          <w:szCs w:val="20"/>
        </w:rPr>
        <w:t>1.7%</w:t>
      </w:r>
    </w:p>
    <w:p w14:paraId="18CE0948" w14:textId="26DEA0C5" w:rsidR="00ED22F8" w:rsidRPr="00991298" w:rsidRDefault="00ED22F8" w:rsidP="00541AD1">
      <w:r w:rsidRPr="00586CA5">
        <w:rPr>
          <w:b/>
          <w:bCs/>
        </w:rPr>
        <w:t>Narrative</w:t>
      </w:r>
      <w:r w:rsidRPr="00991298">
        <w:t>: Geopolitical fragmentation and trade policy shocks (tariffs) keep inflation peaking near 3.0% through June 2026. The Fed remains restricted, causing credit markets to tighten and stalling the capital-intensive energy projects needed for AI scaling.</w:t>
      </w:r>
    </w:p>
    <w:p w14:paraId="3D606A1E" w14:textId="60EBF294" w:rsidR="00ED22F8" w:rsidRPr="00991298" w:rsidRDefault="00ED22F8" w:rsidP="00541AD1">
      <w:r w:rsidRPr="00586CA5">
        <w:rPr>
          <w:b/>
          <w:bCs/>
        </w:rPr>
        <w:t>Bayesian Rationale:</w:t>
      </w:r>
      <w:r w:rsidRPr="00991298">
        <w:t xml:space="preserve"> If the effective tariff rate on goods remains elevated (near 11%) and Fed independence is perceived as eroded, then long-term interest rates will rise, deterring the "trillion-dollar" infrastructure investments required for the singularity.</w:t>
      </w:r>
    </w:p>
    <w:p w14:paraId="7883F5F1" w14:textId="704E87C5" w:rsidR="00ED22F8" w:rsidRPr="00ED22F8" w:rsidRDefault="00ED22F8" w:rsidP="00ED22F8">
      <w:pPr>
        <w:rPr>
          <w:b/>
          <w:bCs/>
          <w:sz w:val="20"/>
          <w:szCs w:val="20"/>
        </w:rPr>
      </w:pPr>
      <w:r w:rsidRPr="00B0794C">
        <w:rPr>
          <w:rStyle w:val="Heading3Char"/>
          <w:sz w:val="24"/>
          <w:szCs w:val="24"/>
        </w:rPr>
        <w:t>Sequence 6: The "Vertical Takeoff" Singularity (Gemini)</w:t>
      </w:r>
      <w:r w:rsidR="00817887" w:rsidRPr="00B0794C">
        <w:rPr>
          <w:rStyle w:val="Heading3Char"/>
          <w:sz w:val="24"/>
          <w:szCs w:val="24"/>
        </w:rPr>
        <w:br/>
      </w:r>
      <w:r w:rsidR="00817887">
        <w:rPr>
          <w:b/>
          <w:bCs/>
          <w:sz w:val="20"/>
          <w:szCs w:val="20"/>
        </w:rPr>
        <w:t>Normalized Probability: 0.4%</w:t>
      </w:r>
    </w:p>
    <w:p w14:paraId="36CBEA91" w14:textId="28E15BD6" w:rsidR="00ED22F8" w:rsidRPr="00991298" w:rsidRDefault="00ED22F8" w:rsidP="00541AD1">
      <w:r w:rsidRPr="00586CA5">
        <w:rPr>
          <w:b/>
          <w:bCs/>
        </w:rPr>
        <w:t>Narrative</w:t>
      </w:r>
      <w:r w:rsidRPr="00991298">
        <w:t>: A "black swan" breakthrough in recursive self-improvement allows proto-AGI to solve its own energy and hardware constraints (e.g., designing radical new cooling or power management). Growth becomes non-linear and traditional economic metrics fail to capture the shift.</w:t>
      </w:r>
    </w:p>
    <w:p w14:paraId="47F29F0E" w14:textId="77777777" w:rsidR="00ED22F8" w:rsidRPr="00991298" w:rsidRDefault="00ED22F8" w:rsidP="00541AD1">
      <w:r w:rsidRPr="00586CA5">
        <w:rPr>
          <w:b/>
          <w:bCs/>
        </w:rPr>
        <w:t>Bayesian Rationale:</w:t>
      </w:r>
      <w:r w:rsidRPr="00991298">
        <w:t xml:space="preserve"> While technical progress is rapid, the physical "hard limits" of the 40-year-old U.S. power grid and the 10-year lead times for transmission expansion make a sudden, vertical takeoff almost physically impossible within the 2026 window.</w:t>
      </w:r>
    </w:p>
    <w:p w14:paraId="436AB6DA" w14:textId="50C379DB" w:rsidR="00817887" w:rsidRPr="00541AD1" w:rsidRDefault="00817887" w:rsidP="00817887">
      <w:pPr>
        <w:spacing w:before="100" w:beforeAutospacing="1" w:after="100" w:afterAutospacing="1"/>
        <w:outlineLvl w:val="1"/>
        <w:rPr>
          <w:b/>
          <w:bCs/>
          <w:sz w:val="20"/>
          <w:szCs w:val="20"/>
        </w:rPr>
      </w:pPr>
      <w:r w:rsidRPr="00B0794C">
        <w:rPr>
          <w:rStyle w:val="Heading3Char"/>
          <w:sz w:val="24"/>
          <w:szCs w:val="24"/>
        </w:rPr>
        <w:t>Sequence 7 — Constrained Expansion (Base Case</w:t>
      </w:r>
      <w:r w:rsidR="00E12F19" w:rsidRPr="00B0794C">
        <w:rPr>
          <w:rStyle w:val="Heading3Char"/>
          <w:sz w:val="24"/>
          <w:szCs w:val="24"/>
        </w:rPr>
        <w:t>; ChatGPT</w:t>
      </w:r>
      <w:r w:rsidRPr="00B0794C">
        <w:rPr>
          <w:rStyle w:val="Heading3Char"/>
          <w:sz w:val="24"/>
          <w:szCs w:val="24"/>
        </w:rPr>
        <w:t xml:space="preserve">) </w:t>
      </w:r>
      <w:r w:rsidRPr="00B0794C">
        <w:rPr>
          <w:rStyle w:val="Heading3Char"/>
          <w:sz w:val="24"/>
          <w:szCs w:val="24"/>
        </w:rPr>
        <w:br/>
      </w:r>
      <w:r w:rsidRPr="00541AD1">
        <w:rPr>
          <w:b/>
          <w:bCs/>
          <w:sz w:val="20"/>
          <w:szCs w:val="20"/>
        </w:rPr>
        <w:t>Normalized Probability: 8.2%</w:t>
      </w:r>
    </w:p>
    <w:p w14:paraId="215F8DEF" w14:textId="11CE1FA3" w:rsidR="00817887" w:rsidRDefault="00817887" w:rsidP="00541AD1">
      <w:r w:rsidRPr="00586CA5">
        <w:rPr>
          <w:b/>
          <w:bCs/>
        </w:rPr>
        <w:t>Narrative</w:t>
      </w:r>
      <w:r>
        <w:t xml:space="preserve">: </w:t>
      </w:r>
      <w:r w:rsidRPr="00494993">
        <w:t>Over a 12-month arc, the Fed executes a stop-start easing cycle—cutting rates, then pausing as services inflation remains stuck above 2.6%. AI capex rotates rather than collapses, concentrating in regions with available power, cooling, and transmission rights. Grid constraints do not break, but they gate deployment, with megawatts delivered lagging megawatts contracted. Productivity improves primarily through agentic orchestration (workflow automation) rather than raw model scaling, while labor experiences role</w:t>
      </w:r>
      <w:r w:rsidR="008F7BE5">
        <w:t>-</w:t>
      </w:r>
      <w:r w:rsidRPr="00494993">
        <w:t xml:space="preserve">reshaping instead of mass layoffs; consumption growth slows but remains positive. </w:t>
      </w:r>
    </w:p>
    <w:p w14:paraId="493826BF" w14:textId="6C69EB36" w:rsidR="00817887" w:rsidRPr="00494993" w:rsidRDefault="00817887" w:rsidP="00541AD1">
      <w:r w:rsidRPr="00586CA5">
        <w:rPr>
          <w:b/>
          <w:bCs/>
        </w:rPr>
        <w:t>Bayesian Rationale</w:t>
      </w:r>
      <w:r>
        <w:t xml:space="preserve">: </w:t>
      </w:r>
      <w:r w:rsidRPr="00494993">
        <w:t>The Bayesian rationale reflects high odds of sticky services inflation given housing and adaptation costs (≈ 0.75), a stop-start Fed under 2.6–3.0% inflation (≈ 0.70), regional AI concentration driven by grid gating (≈ 0.80), and no recession supported by positive real income and employment stability (≈ 0.70), yielding a correlation-adjusted joint posterior near 0.38. The hard limits are physical (interconnection queues cap AI deployment regardless of capital availability) and economic (services inflation prevents sustained real-rate easing), producing an outcome where expansion continues but speed is capped rather than momentum.</w:t>
      </w:r>
    </w:p>
    <w:p w14:paraId="2D2D31CD" w14:textId="77777777" w:rsidR="007F5E64" w:rsidRDefault="007F5E64" w:rsidP="00817887">
      <w:pPr>
        <w:spacing w:before="100" w:beforeAutospacing="1" w:after="100" w:afterAutospacing="1"/>
        <w:outlineLvl w:val="1"/>
        <w:rPr>
          <w:rStyle w:val="Heading3Char"/>
        </w:rPr>
      </w:pPr>
    </w:p>
    <w:p w14:paraId="55BD17AF" w14:textId="77777777" w:rsidR="007F5E64" w:rsidRDefault="007F5E64" w:rsidP="00817887">
      <w:pPr>
        <w:spacing w:before="100" w:beforeAutospacing="1" w:after="100" w:afterAutospacing="1"/>
        <w:outlineLvl w:val="1"/>
        <w:rPr>
          <w:rStyle w:val="Heading3Char"/>
        </w:rPr>
      </w:pPr>
    </w:p>
    <w:p w14:paraId="18E87EA0" w14:textId="39DC5BDE" w:rsidR="008F7BE5" w:rsidRPr="00541AD1" w:rsidRDefault="00817887" w:rsidP="00817887">
      <w:pPr>
        <w:spacing w:before="100" w:beforeAutospacing="1" w:after="100" w:afterAutospacing="1"/>
        <w:outlineLvl w:val="1"/>
        <w:rPr>
          <w:b/>
          <w:bCs/>
          <w:sz w:val="21"/>
          <w:szCs w:val="21"/>
        </w:rPr>
      </w:pPr>
      <w:r w:rsidRPr="00B0794C">
        <w:rPr>
          <w:rStyle w:val="Heading3Char"/>
          <w:sz w:val="24"/>
          <w:szCs w:val="24"/>
        </w:rPr>
        <w:t>Sequence 8 — Infrastructure-First Bottleneck</w:t>
      </w:r>
      <w:r w:rsidR="00E12F19" w:rsidRPr="00B0794C">
        <w:rPr>
          <w:rStyle w:val="Heading3Char"/>
          <w:sz w:val="24"/>
          <w:szCs w:val="24"/>
        </w:rPr>
        <w:t xml:space="preserve"> (ChatGPT)</w:t>
      </w:r>
      <w:r w:rsidR="008F7BE5" w:rsidRPr="00B0794C">
        <w:rPr>
          <w:rStyle w:val="Heading3Char"/>
          <w:sz w:val="24"/>
          <w:szCs w:val="24"/>
        </w:rPr>
        <w:br/>
      </w:r>
      <w:r w:rsidR="008F7BE5" w:rsidRPr="00541AD1">
        <w:rPr>
          <w:b/>
          <w:bCs/>
          <w:sz w:val="21"/>
          <w:szCs w:val="21"/>
        </w:rPr>
        <w:t>Normalized Probability: 5.2%</w:t>
      </w:r>
    </w:p>
    <w:p w14:paraId="1EB96A2D" w14:textId="77777777" w:rsidR="008F7BE5" w:rsidRDefault="008F7BE5" w:rsidP="00541AD1">
      <w:r w:rsidRPr="00586CA5">
        <w:rPr>
          <w:b/>
          <w:bCs/>
        </w:rPr>
        <w:t>Narrative</w:t>
      </w:r>
      <w:r>
        <w:t xml:space="preserve">: </w:t>
      </w:r>
      <w:r w:rsidR="00817887" w:rsidRPr="00494993">
        <w:t xml:space="preserve">In this path, AI demand overshoots regional grid capacity faster than expected, and interconnection delays push projects into 2027–28, triggering localized brownouts and power-price spikes. Data center investment clusters aggressively around nuclear-adjacent, hydro-rich, or stranded-gas regions, so national growth holds even as regional divergence explodes. Political pressure rises for emergency grid acceleration. </w:t>
      </w:r>
    </w:p>
    <w:p w14:paraId="23595E0A" w14:textId="1A21A1A2" w:rsidR="00817887" w:rsidRPr="00494993" w:rsidRDefault="008F7BE5" w:rsidP="00541AD1">
      <w:r w:rsidRPr="00586CA5">
        <w:rPr>
          <w:b/>
          <w:bCs/>
        </w:rPr>
        <w:t>Bayesian Rationale:</w:t>
      </w:r>
      <w:r>
        <w:t xml:space="preserve"> </w:t>
      </w:r>
      <w:r w:rsidR="00817887" w:rsidRPr="00494993">
        <w:t>The Bayesian rationale assigns meaningful likelihood to a grid delivery shortfall amid aging transmission and permitting constraints (≈ 0.65), regional price spikes from capacity saturation (≈ 0.75), growth divergence under energy-gated AI deployment (≈ 0.80), and no national recession due to regional offsets (≈ 0.65), producing a joint posterior near 0.24. The hard limits are physical (transmission build times of 5–10 years cannot be compressed within 2026) and economic (power prices become locally inflationary even as national CPI appears tame), resulting in an outcome where growth survives but geography becomes destiny.</w:t>
      </w:r>
    </w:p>
    <w:p w14:paraId="46F68FC8" w14:textId="4161BE03" w:rsidR="008F7BE5" w:rsidRPr="008F7BE5" w:rsidRDefault="00817887" w:rsidP="00817887">
      <w:pPr>
        <w:spacing w:before="100" w:beforeAutospacing="1" w:after="100" w:afterAutospacing="1"/>
        <w:outlineLvl w:val="1"/>
        <w:rPr>
          <w:b/>
          <w:bCs/>
          <w:sz w:val="20"/>
          <w:szCs w:val="20"/>
        </w:rPr>
      </w:pPr>
      <w:r w:rsidRPr="00B0794C">
        <w:rPr>
          <w:rStyle w:val="Heading3Char"/>
          <w:sz w:val="24"/>
          <w:szCs w:val="24"/>
        </w:rPr>
        <w:t>Sequence 9 — AI Capex Reckoning (Soft Landing</w:t>
      </w:r>
      <w:r w:rsidR="00E12F19" w:rsidRPr="00B0794C">
        <w:rPr>
          <w:rStyle w:val="Heading3Char"/>
          <w:sz w:val="24"/>
          <w:szCs w:val="24"/>
        </w:rPr>
        <w:t>; ChatGPT</w:t>
      </w:r>
      <w:r w:rsidRPr="00B0794C">
        <w:rPr>
          <w:rStyle w:val="Heading3Char"/>
          <w:sz w:val="24"/>
          <w:szCs w:val="24"/>
        </w:rPr>
        <w:t>)</w:t>
      </w:r>
      <w:r w:rsidR="008F7BE5" w:rsidRPr="00B0794C">
        <w:rPr>
          <w:rStyle w:val="Heading3Char"/>
          <w:sz w:val="24"/>
          <w:szCs w:val="24"/>
        </w:rPr>
        <w:br/>
      </w:r>
      <w:r w:rsidR="008F7BE5" w:rsidRPr="008F7BE5">
        <w:rPr>
          <w:b/>
          <w:bCs/>
          <w:sz w:val="20"/>
          <w:szCs w:val="20"/>
        </w:rPr>
        <w:t>Normalized Probability: 3.9%</w:t>
      </w:r>
    </w:p>
    <w:p w14:paraId="4C368388" w14:textId="77777777" w:rsidR="00E12F19" w:rsidRDefault="00E12F19" w:rsidP="00541AD1">
      <w:r w:rsidRPr="00586CA5">
        <w:rPr>
          <w:b/>
          <w:bCs/>
        </w:rPr>
        <w:t>Narrative</w:t>
      </w:r>
      <w:r>
        <w:t xml:space="preserve">: </w:t>
      </w:r>
      <w:r w:rsidR="00817887" w:rsidRPr="00494993">
        <w:t xml:space="preserve">Here, overbuilt AI capacity collides with utilization reality, prompting CFOs to freeze or cancel marginal data-center projects that lack clear ROI. Equity volatility rises in AI infrastructure names, but credit markets remain orderly. AI value creation shifts decisively toward software orchestration, vertical integration, and cost takeout, and productivity gains show up first in margins rather than employment. </w:t>
      </w:r>
    </w:p>
    <w:p w14:paraId="6B087A10" w14:textId="5DC35E8B" w:rsidR="00817887" w:rsidRPr="00494993" w:rsidRDefault="00E12F19" w:rsidP="00541AD1">
      <w:r w:rsidRPr="00586CA5">
        <w:rPr>
          <w:b/>
          <w:bCs/>
        </w:rPr>
        <w:t>Bayesian Rationale:</w:t>
      </w:r>
      <w:r>
        <w:t xml:space="preserve"> </w:t>
      </w:r>
      <w:r w:rsidR="00817887" w:rsidRPr="00494993">
        <w:t>The Bayesian rationale reflects the probability of a capex pullback due to a utilization gap (≈ 0.60), limited contagion supported by strong balance sheets (≈ 0.70), and productivity gains via orchestration as agentic maturity improves (≈ 0.65), yielding a joint posterior near 0.18. The hard limits are economic (ROI discipline replaces scale ambition) and accounting (productivity gains lag national accounts statistics, muting GDP optics), leading to an outcome where markets correct narratives faster than the real economy adjusts.</w:t>
      </w:r>
    </w:p>
    <w:p w14:paraId="3C2EBD35" w14:textId="6F48CAB6" w:rsidR="00E12F19" w:rsidRPr="00E12F19" w:rsidRDefault="00817887" w:rsidP="00817887">
      <w:pPr>
        <w:spacing w:before="100" w:beforeAutospacing="1" w:after="100" w:afterAutospacing="1"/>
        <w:outlineLvl w:val="1"/>
        <w:rPr>
          <w:b/>
          <w:bCs/>
          <w:sz w:val="20"/>
          <w:szCs w:val="20"/>
        </w:rPr>
      </w:pPr>
      <w:r w:rsidRPr="00B0794C">
        <w:rPr>
          <w:rStyle w:val="Heading3Char"/>
          <w:sz w:val="24"/>
          <w:szCs w:val="24"/>
        </w:rPr>
        <w:t xml:space="preserve">Sequence 10 — Labor-Lag Drag </w:t>
      </w:r>
      <w:r w:rsidR="00E12F19" w:rsidRPr="00B0794C">
        <w:rPr>
          <w:rStyle w:val="Heading3Char"/>
          <w:sz w:val="24"/>
          <w:szCs w:val="24"/>
        </w:rPr>
        <w:t>(ChatGPT)</w:t>
      </w:r>
      <w:r w:rsidR="00E12F19" w:rsidRPr="00B0794C">
        <w:rPr>
          <w:rStyle w:val="Heading3Char"/>
          <w:sz w:val="24"/>
          <w:szCs w:val="24"/>
        </w:rPr>
        <w:br/>
      </w:r>
      <w:r w:rsidR="00E12F19" w:rsidRPr="00E12F19">
        <w:rPr>
          <w:b/>
          <w:bCs/>
          <w:sz w:val="20"/>
          <w:szCs w:val="20"/>
        </w:rPr>
        <w:t>Normalized Probability: 2.6%</w:t>
      </w:r>
    </w:p>
    <w:p w14:paraId="0977FFFA" w14:textId="77777777" w:rsidR="00E12F19" w:rsidRDefault="00E12F19" w:rsidP="00541AD1">
      <w:r w:rsidRPr="00586CA5">
        <w:rPr>
          <w:b/>
          <w:bCs/>
        </w:rPr>
        <w:t>Narrative</w:t>
      </w:r>
      <w:r>
        <w:t xml:space="preserve">: </w:t>
      </w:r>
      <w:r w:rsidR="00817887" w:rsidRPr="00494993">
        <w:t xml:space="preserve">In this scenario, AI augmentation reduces hiring in mid-skill white-collar roles, and wage growth softens before prices fully normalize. Consumption slows enough to cap earnings growth—especially in services—prompting the Fed to cut more aggressively, though real rates remain near neutral rather than truly stimulative. Growth stays positive but feels recessionary to households. </w:t>
      </w:r>
    </w:p>
    <w:p w14:paraId="0730697C" w14:textId="4CB5D1E4" w:rsidR="00817887" w:rsidRPr="00E12F19" w:rsidRDefault="00E12F19" w:rsidP="00541AD1">
      <w:r w:rsidRPr="00586CA5">
        <w:rPr>
          <w:b/>
          <w:bCs/>
        </w:rPr>
        <w:lastRenderedPageBreak/>
        <w:t>Bayesian Rationale:</w:t>
      </w:r>
      <w:r>
        <w:t xml:space="preserve"> </w:t>
      </w:r>
      <w:r w:rsidR="00817887" w:rsidRPr="00494993">
        <w:t>The Bayesian rationale emphasizes consumption softness driven by wage deceleration (≈ 0.65), a policy response to a growth scare (≈ 0.70), and no recession supported by household balance sheets (≈ 0.60), producing a joint posterior near 0.12. The hard limits are economic (demand elasticity, not capital scarcity, becomes binding) and statistical (employment appears fine even as sentiment collapses), resulting in a psychological slowdown without structural collapse.</w:t>
      </w:r>
    </w:p>
    <w:p w14:paraId="7B70623B" w14:textId="03E24243" w:rsidR="00E12F19" w:rsidRPr="00586CA5" w:rsidRDefault="00817887" w:rsidP="00817887">
      <w:pPr>
        <w:spacing w:before="100" w:beforeAutospacing="1" w:after="100" w:afterAutospacing="1"/>
        <w:outlineLvl w:val="1"/>
        <w:rPr>
          <w:b/>
          <w:bCs/>
          <w:sz w:val="20"/>
          <w:szCs w:val="20"/>
        </w:rPr>
      </w:pPr>
      <w:r w:rsidRPr="00B0794C">
        <w:rPr>
          <w:rStyle w:val="Heading3Char"/>
          <w:sz w:val="24"/>
          <w:szCs w:val="24"/>
        </w:rPr>
        <w:t>Sequence 11 — Constraint Cascade (Tail Risk</w:t>
      </w:r>
      <w:r w:rsidR="00E12F19" w:rsidRPr="00B0794C">
        <w:rPr>
          <w:rStyle w:val="Heading3Char"/>
          <w:sz w:val="24"/>
          <w:szCs w:val="24"/>
        </w:rPr>
        <w:t>; ChatGPT</w:t>
      </w:r>
      <w:r w:rsidRPr="00B0794C">
        <w:rPr>
          <w:rStyle w:val="Heading3Char"/>
          <w:sz w:val="24"/>
          <w:szCs w:val="24"/>
        </w:rPr>
        <w:t xml:space="preserve">) </w:t>
      </w:r>
      <w:r w:rsidR="00E12F19" w:rsidRPr="00B0794C">
        <w:rPr>
          <w:rStyle w:val="Heading3Char"/>
          <w:sz w:val="24"/>
          <w:szCs w:val="24"/>
        </w:rPr>
        <w:br/>
      </w:r>
      <w:r w:rsidR="00E12F19" w:rsidRPr="00586CA5">
        <w:rPr>
          <w:b/>
          <w:bCs/>
          <w:sz w:val="20"/>
          <w:szCs w:val="20"/>
        </w:rPr>
        <w:t>Normalized Probability: 1.7%</w:t>
      </w:r>
    </w:p>
    <w:p w14:paraId="25A37835" w14:textId="77777777" w:rsidR="00E12F19" w:rsidRDefault="00E12F19" w:rsidP="00541AD1">
      <w:r w:rsidRPr="00586CA5">
        <w:rPr>
          <w:b/>
          <w:bCs/>
        </w:rPr>
        <w:t>Narrative</w:t>
      </w:r>
      <w:r>
        <w:t xml:space="preserve">: </w:t>
      </w:r>
      <w:r w:rsidR="00817887" w:rsidRPr="00817887">
        <w:t xml:space="preserve">In this tail case, grid delays, an AI capex pullback, and labor softness reinforce one another, driving a sharp repricing of growth expectations. The Fed cuts, but transmission and permitting constraints prevent a rapid real-world response, while fiscal action is debated and delayed amid political fragmentation. </w:t>
      </w:r>
    </w:p>
    <w:p w14:paraId="674B6C3F" w14:textId="38DE2B3E" w:rsidR="00817887" w:rsidRPr="00817887" w:rsidRDefault="00E12F19" w:rsidP="00541AD1">
      <w:r w:rsidRPr="00586CA5">
        <w:rPr>
          <w:b/>
          <w:bCs/>
        </w:rPr>
        <w:t>Bayesian Rationale:</w:t>
      </w:r>
      <w:r>
        <w:t xml:space="preserve"> </w:t>
      </w:r>
      <w:r w:rsidR="00817887" w:rsidRPr="00817887">
        <w:t>The Bayesian rationale assigns a lower probability to multiple constraints binding at once due to correlated shocks (≈ 0.25), a high likelihood of policy lag from institutional inertia (≈ 0.70), and a meaningful chance of a mild recession under a triple constraint (≈ 0.40), yielding a joint posterior near 0.08. The hard limits are physical (energy cannot be deployed on demand) and institutional (policy response speed is slower than market repricing), producing an outcome characterized by short recession risk.</w:t>
      </w:r>
    </w:p>
    <w:p w14:paraId="2F0AE7C7" w14:textId="2344644E" w:rsidR="00586CA5" w:rsidRPr="002269DB" w:rsidRDefault="00586CA5" w:rsidP="00586CA5">
      <w:pPr>
        <w:spacing w:before="100" w:beforeAutospacing="1" w:after="100" w:afterAutospacing="1"/>
        <w:outlineLvl w:val="3"/>
        <w:rPr>
          <w:b/>
          <w:bCs/>
          <w:sz w:val="20"/>
          <w:szCs w:val="20"/>
        </w:rPr>
      </w:pPr>
      <w:r w:rsidRPr="00B0794C">
        <w:rPr>
          <w:rStyle w:val="Heading3Char"/>
          <w:sz w:val="24"/>
          <w:szCs w:val="24"/>
        </w:rPr>
        <w:t>Sequence 12: Constrained Growth (Grok)</w:t>
      </w:r>
      <w:r w:rsidRPr="00B0794C">
        <w:rPr>
          <w:rStyle w:val="Heading3Char"/>
          <w:sz w:val="24"/>
          <w:szCs w:val="24"/>
        </w:rPr>
        <w:br/>
      </w:r>
      <w:r>
        <w:rPr>
          <w:b/>
          <w:bCs/>
          <w:sz w:val="20"/>
          <w:szCs w:val="20"/>
        </w:rPr>
        <w:t>Normalized Probability: 11.9%</w:t>
      </w:r>
    </w:p>
    <w:p w14:paraId="506A8C7E" w14:textId="77777777" w:rsidR="00586CA5" w:rsidRPr="002269DB" w:rsidRDefault="00586CA5" w:rsidP="00541AD1">
      <w:r w:rsidRPr="002269DB">
        <w:rPr>
          <w:b/>
          <w:bCs/>
        </w:rPr>
        <w:t>Narrative</w:t>
      </w:r>
      <w:r w:rsidRPr="002269DB">
        <w:t>: In this baseline trajectory, the U.S. economy navigates 2026 with moderate expansion amid binding constraints, embodying the "moderately stronger but structurally constrained" base case. The year begins with services inflation hovering at 2.7%, driven by elevated housing costs and climate adaptation expenses, prompting a Fed "stop-start" monetary cycle with two rate cuts in Q1 and Q3, interspersed with pauses to monitor wage pressures. AI development shifts toward orchestration breakthroughs in agentic systems, enabling more efficient deployment without exponential raw compute scaling, but capex faces a 15-20% correction as investors demand ROI from hyperscalers. Physical infrastructure hits gating points early, with AI power demand reaching 35 GW by mid-year, causing minor regional brownouts in the Southwest and delaying 10-15% of data center projects; however, targeted grid interconnections in Texas and Virginia deliver 20 GW of new capacity by Q4. Labor markets see augmentation in mid-skill white-collar roles via AI tools, boosting productivity by 1.2% annually, but consumption softens slightly due to uneven displacement in administrative sectors. By year-end, GDP growth settles at 2.1%, with equity markets up 8-10% but volatility from energy price spikes.</w:t>
      </w:r>
    </w:p>
    <w:p w14:paraId="6C689418" w14:textId="77777777" w:rsidR="00586CA5" w:rsidRPr="002269DB" w:rsidRDefault="00586CA5" w:rsidP="00541AD1">
      <w:r w:rsidRPr="002269DB">
        <w:rPr>
          <w:b/>
          <w:bCs/>
        </w:rPr>
        <w:t>Bayesian Rationale</w:t>
      </w:r>
      <w:r w:rsidRPr="002269DB">
        <w:t xml:space="preserve">: Starting from the base prior of a "strengthened but constrained" entry into 2026 (P=55-60%), the causal chain unfolds as follows: Given persistent </w:t>
      </w:r>
      <w:r w:rsidRPr="002269DB">
        <w:lastRenderedPageBreak/>
        <w:t>services inflation at 2.5-3.0% (Event A, prior P=70% based on historical sticky housing components), the likelihood of a Fed stop-start cycle (Event B|A) rises to 75%, as restrictive real rates would exacerbate productivity drags. If orchestration breakthroughs occur (Event C, independent prior P=40% from recent AI research trends), then raw scaling plateaus (Event D|C)=65%, redirecting capex toward efficiency. Grid interconnection success is conditionally moderate (Event E|A&amp;D)=60%, given aging infrastructure limits, leading to concentrated regional growth rather than widespread expansion. Labor augmentation (Event F|E)=70% follows from AI orchestration enabling tool integration without mass displacement. The sequence pivots if inflation reaccelerates above 3.5% (updated P=20%), forcing a policy reversal.</w:t>
      </w:r>
    </w:p>
    <w:p w14:paraId="0306427A" w14:textId="77777777" w:rsidR="00586CA5" w:rsidRPr="002269DB" w:rsidRDefault="00586CA5" w:rsidP="00541AD1">
      <w:pPr>
        <w:rPr>
          <w:sz w:val="20"/>
          <w:szCs w:val="20"/>
        </w:rPr>
      </w:pPr>
      <w:r w:rsidRPr="002269DB">
        <w:rPr>
          <w:b/>
          <w:bCs/>
          <w:sz w:val="20"/>
          <w:szCs w:val="20"/>
        </w:rPr>
        <w:t>Hard Limits</w:t>
      </w:r>
      <w:r w:rsidRPr="002269DB">
        <w:rPr>
          <w:sz w:val="20"/>
          <w:szCs w:val="20"/>
        </w:rPr>
        <w:t>: Physical energy constraints cap AI power at ~35 GW without new transmission lines, forcing a pivot to regional hubs; economic limits in SNA productivity statistics undercount AI gains, masking true output until Q4 revisions.</w:t>
      </w:r>
    </w:p>
    <w:p w14:paraId="2230E90F" w14:textId="08F28314" w:rsidR="00586CA5" w:rsidRPr="002269DB" w:rsidRDefault="00586CA5" w:rsidP="00586CA5">
      <w:pPr>
        <w:spacing w:before="100" w:beforeAutospacing="1" w:after="100" w:afterAutospacing="1"/>
        <w:outlineLvl w:val="3"/>
        <w:rPr>
          <w:b/>
          <w:bCs/>
          <w:sz w:val="20"/>
          <w:szCs w:val="20"/>
        </w:rPr>
      </w:pPr>
      <w:r w:rsidRPr="00B0794C">
        <w:rPr>
          <w:rStyle w:val="Heading3Char"/>
          <w:sz w:val="24"/>
          <w:szCs w:val="24"/>
        </w:rPr>
        <w:t>Sequence 13: AI Breakthrough Acceleration (Grok)</w:t>
      </w:r>
      <w:r w:rsidRPr="00B0794C">
        <w:rPr>
          <w:rStyle w:val="Heading3Char"/>
          <w:sz w:val="24"/>
          <w:szCs w:val="24"/>
        </w:rPr>
        <w:br/>
      </w:r>
      <w:r>
        <w:rPr>
          <w:b/>
          <w:bCs/>
          <w:sz w:val="20"/>
          <w:szCs w:val="20"/>
        </w:rPr>
        <w:t>Normalized Probability: 3.2%</w:t>
      </w:r>
    </w:p>
    <w:p w14:paraId="782EEBA2" w14:textId="69C2BFBA" w:rsidR="00586CA5" w:rsidRPr="002269DB" w:rsidRDefault="00586CA5" w:rsidP="00541AD1">
      <w:r w:rsidRPr="002269DB">
        <w:rPr>
          <w:b/>
          <w:bCs/>
        </w:rPr>
        <w:t>Narrative</w:t>
      </w:r>
      <w:r w:rsidRPr="002269DB">
        <w:t xml:space="preserve">: This optimistic path sees AI orchestration breakthroughs catalyze a productivity surge, alleviating some constraints despite initial headwinds. Services inflation starts at 2.8% but eases to 2.3% by Q3 as AI-augmented services reduce labor costs in healthcare and finance. The Fed implements a smoother stop-start cycle with three cuts, lowering real rates to 1.5% and stimulating capex. Agentic AI advances dominate, with orchestration enabling multi-model systems that boost efficiency by 25%, shifting focus from raw scaling and averting a full capex </w:t>
      </w:r>
      <w:proofErr w:type="gramStart"/>
      <w:r w:rsidRPr="002269DB">
        <w:t>reckoning—investments</w:t>
      </w:r>
      <w:proofErr w:type="gramEnd"/>
      <w:r w:rsidRPr="002269DB">
        <w:t xml:space="preserve"> rise 10% but with higher ROI. Infrastructure overcomes gating via accelerated interconnections, delivering 30 GW for AI by year-end with minimal brownouts, supported by federal incentives. Labor markets thrive on augmentation, with mid-skill roles enhanced by AI agents, driving 2.5% productivity growth and firm consumption. GDP accelerates to 2.8%, with tech equities rallying 15-20% amid reduced energy bottlenecks.</w:t>
      </w:r>
    </w:p>
    <w:p w14:paraId="3B129E69" w14:textId="77777777" w:rsidR="00586CA5" w:rsidRPr="002269DB" w:rsidRDefault="00586CA5" w:rsidP="00541AD1">
      <w:r w:rsidRPr="002269DB">
        <w:rPr>
          <w:b/>
          <w:bCs/>
        </w:rPr>
        <w:t>Bayesian Rationale</w:t>
      </w:r>
      <w:r w:rsidRPr="002269DB">
        <w:t>: From the base prior (P=55-60%), this sequence branches positively: If AI orchestration breakthroughs materialize (Event A, prior P=40% from lab prototypes), then capex efficiency improves (Event B|A)=80%, reducing the need for raw scaling. Given moderate inflation persistence (Event C, prior P=70%), Fed easing via stop-start (Event D|C)=60% becomes likely, lowering borrowing costs. Successful grid interconnections (Event E|B&amp;D)=55% follow from redirected capital to infrastructure, mitigating brownouts. Labor augmentation (Event F|E)=85% is high due to agentic tools complementing human roles. The chain updates upward if early Q1 breakthroughs confirm (P increases by 10%), but stalls if orchestration hype fails validation.</w:t>
      </w:r>
    </w:p>
    <w:p w14:paraId="54540606" w14:textId="77777777" w:rsidR="00586CA5" w:rsidRPr="002269DB" w:rsidRDefault="00586CA5" w:rsidP="00541AD1">
      <w:r w:rsidRPr="002269DB">
        <w:rPr>
          <w:b/>
          <w:bCs/>
        </w:rPr>
        <w:t>Hard Limits</w:t>
      </w:r>
      <w:r w:rsidRPr="002269DB">
        <w:t>: Chip supply chains impose a hard cap on hardware scaling beyond current fabs, pivoting to software orchestration; inflation metrics in SNA force a mid-year data revision if undercounting productivity leads to perceived overheating.</w:t>
      </w:r>
    </w:p>
    <w:p w14:paraId="3677F2E4" w14:textId="2DC6D61A" w:rsidR="00586CA5" w:rsidRPr="002269DB" w:rsidRDefault="00586CA5" w:rsidP="00586CA5">
      <w:pPr>
        <w:spacing w:before="100" w:beforeAutospacing="1" w:after="100" w:afterAutospacing="1"/>
        <w:outlineLvl w:val="3"/>
        <w:rPr>
          <w:b/>
          <w:bCs/>
          <w:sz w:val="20"/>
          <w:szCs w:val="20"/>
        </w:rPr>
      </w:pPr>
      <w:r w:rsidRPr="00B0794C">
        <w:rPr>
          <w:rStyle w:val="Heading3Char"/>
          <w:sz w:val="24"/>
          <w:szCs w:val="24"/>
        </w:rPr>
        <w:lastRenderedPageBreak/>
        <w:t>Sequence 14: Policy Pivot Boom (Grok)</w:t>
      </w:r>
      <w:r w:rsidRPr="00B0794C">
        <w:rPr>
          <w:rStyle w:val="Heading3Char"/>
          <w:sz w:val="24"/>
          <w:szCs w:val="24"/>
        </w:rPr>
        <w:br/>
      </w:r>
      <w:r>
        <w:rPr>
          <w:b/>
          <w:bCs/>
          <w:sz w:val="20"/>
          <w:szCs w:val="20"/>
        </w:rPr>
        <w:t>Normalized Probability: 2.6%</w:t>
      </w:r>
    </w:p>
    <w:p w14:paraId="535402B1" w14:textId="42B7F56F" w:rsidR="00586CA5" w:rsidRPr="002269DB" w:rsidRDefault="00586CA5" w:rsidP="00541AD1">
      <w:r w:rsidRPr="002269DB">
        <w:rPr>
          <w:b/>
          <w:bCs/>
        </w:rPr>
        <w:t>Narrative</w:t>
      </w:r>
      <w:r w:rsidRPr="002269DB">
        <w:t xml:space="preserve">: A policy-driven upswing emerges as the Fed pivots more aggressively in response to softening data, fostering growth amid mixed constraints. Inflation holds at 2.6%, allowing a stop-start </w:t>
      </w:r>
      <w:proofErr w:type="gramStart"/>
      <w:r w:rsidRPr="002269DB">
        <w:t>cycle</w:t>
      </w:r>
      <w:proofErr w:type="gramEnd"/>
      <w:r w:rsidRPr="002269DB">
        <w:t xml:space="preserve"> that evolves into sustained easing with four cuts, bringing real rates below 1%. AI leans on raw model scaling, with capex surging 12% early but correcting 10% mid-year as overbuild hits ROI walls. Infrastructure faces delays, with AI demand causing brownouts in California and the Midwest, but regional adaptations concentrate growth in resilient areas like the Southeast, delivering 25 GW by Q4. Labor sees balanced augmentation and minor displacement, with white-collar productivity up 1.5% but consumption dipping 0.5% from layoffs in legacy sectors. GDP reaches 2.4%, with broad market gains of 12% tempered by energy volatility.</w:t>
      </w:r>
    </w:p>
    <w:p w14:paraId="58F826E0" w14:textId="77777777" w:rsidR="00586CA5" w:rsidRPr="002269DB" w:rsidRDefault="00586CA5" w:rsidP="00541AD1">
      <w:r w:rsidRPr="002269DB">
        <w:rPr>
          <w:b/>
          <w:bCs/>
        </w:rPr>
        <w:t>Bayesian Rationale</w:t>
      </w:r>
      <w:r w:rsidRPr="002269DB">
        <w:t>: Anchored in the base prior (P=55-60%), the chain starts with inflation stability (Event A, prior P=70%), increasing the probability of extended Fed stop-start easing (Event B|A)=65% to counter consumption risks. Raw AI scaling persists (Event C, independent prior P=60%), but capex reckoning (Event D|C)=70% forces efficiency focus. Grid delays are likely (Event E|D)=50%, leading to regional brownouts but not system-wide failure. Labor outcomes mix augmentation with displacement (Event F|E)=60%, softening consumption. Probabilities update if Q2 data shows weakness (P rises 5%), creating a self-reinforcing easing loop.</w:t>
      </w:r>
    </w:p>
    <w:p w14:paraId="42F852C4" w14:textId="77777777" w:rsidR="00586CA5" w:rsidRPr="002269DB" w:rsidRDefault="00586CA5" w:rsidP="00541AD1">
      <w:r w:rsidRPr="002269DB">
        <w:rPr>
          <w:b/>
          <w:bCs/>
        </w:rPr>
        <w:t>Hard Limits</w:t>
      </w:r>
      <w:r w:rsidRPr="002269DB">
        <w:t>: Physical grid interconnections are gated at 25-30 GW additions annually due to permitting bottlenecks, forcing a pivot to demand-side management; capital limits in capex hit when ROI drops below 15%, ending raw scaling expansion.</w:t>
      </w:r>
    </w:p>
    <w:p w14:paraId="4B8BF88D" w14:textId="7BD74EDF" w:rsidR="00586CA5" w:rsidRPr="002269DB" w:rsidRDefault="00586CA5" w:rsidP="00586CA5">
      <w:pPr>
        <w:spacing w:before="100" w:beforeAutospacing="1" w:after="100" w:afterAutospacing="1"/>
        <w:outlineLvl w:val="3"/>
        <w:rPr>
          <w:b/>
          <w:bCs/>
          <w:sz w:val="20"/>
          <w:szCs w:val="20"/>
        </w:rPr>
      </w:pPr>
      <w:r w:rsidRPr="00B0794C">
        <w:rPr>
          <w:rStyle w:val="Heading3Char"/>
          <w:sz w:val="24"/>
          <w:szCs w:val="24"/>
        </w:rPr>
        <w:t>Sequence 15: Infrastructure Crisis (Grok)</w:t>
      </w:r>
      <w:r w:rsidRPr="00B0794C">
        <w:rPr>
          <w:rStyle w:val="Heading3Char"/>
          <w:sz w:val="24"/>
          <w:szCs w:val="24"/>
        </w:rPr>
        <w:br/>
      </w:r>
      <w:r>
        <w:rPr>
          <w:b/>
          <w:bCs/>
          <w:sz w:val="20"/>
          <w:szCs w:val="20"/>
        </w:rPr>
        <w:t>Normalized Probability: 2.2%</w:t>
      </w:r>
    </w:p>
    <w:p w14:paraId="53CB20C6" w14:textId="77777777" w:rsidR="00586CA5" w:rsidRPr="002269DB" w:rsidRDefault="00586CA5" w:rsidP="00541AD1">
      <w:r w:rsidRPr="002269DB">
        <w:rPr>
          <w:b/>
          <w:bCs/>
        </w:rPr>
        <w:t>Narrative</w:t>
      </w:r>
      <w:r w:rsidRPr="002269DB">
        <w:t>: Constraints intensify, leading to a challenging year marked by infrastructure failures and economic softening. Services inflation climbs to 2.9%, locking in restrictive real rates above 2% with no Fed cuts. AI raw scaling continues but stalls due to power shortages, with capex facing a 25% reckoning as projects are shelved. Grid gating peaks, with AI demand triggering widespread brownouts in high-demand regions and delaying 30% of interconnections, capping delivery at 15 GW. Labor displacement accelerates in white-collar roles, reducing productivity by 0.8% and causing consumption to contract 1.2%. GDP growth slows to 1.3%, with markets down 5-7% amid energy crises.</w:t>
      </w:r>
    </w:p>
    <w:p w14:paraId="6A9F066D" w14:textId="77777777" w:rsidR="00586CA5" w:rsidRPr="002269DB" w:rsidRDefault="00586CA5" w:rsidP="00541AD1">
      <w:r w:rsidRPr="002269DB">
        <w:rPr>
          <w:b/>
          <w:bCs/>
        </w:rPr>
        <w:t>Bayesian Rationale</w:t>
      </w:r>
      <w:r w:rsidRPr="002269DB">
        <w:t xml:space="preserve">: Deviating from the base prior (P=55-60%), this pessimistic chain triggers if inflation exceeds 3.0% (Event A, prior P=30%), making restrictive rates persistent (Event B|A)=85%. Raw AI scaling attempts fail (Event C|B)=75% due to capital tightness. High grid constraints follow (Event D|C)=80%, causing brownouts and delays. Labor displacement dominates (Event E|D)=70%, exacerbating consumption </w:t>
      </w:r>
      <w:r w:rsidRPr="002269DB">
        <w:lastRenderedPageBreak/>
        <w:t>weakness. The sequence amplifies if early brownouts confirm (updated P=15%), forming a vicious cycle.</w:t>
      </w:r>
    </w:p>
    <w:p w14:paraId="71C67004" w14:textId="77777777" w:rsidR="00586CA5" w:rsidRPr="002269DB" w:rsidRDefault="00586CA5" w:rsidP="00541AD1">
      <w:r w:rsidRPr="002269DB">
        <w:rPr>
          <w:b/>
          <w:bCs/>
        </w:rPr>
        <w:t>Hard Limits</w:t>
      </w:r>
      <w:r w:rsidRPr="002269DB">
        <w:t>: Energy physics limits grid expansion to sub-20 GW amid material shortages, forcing sequence termination via blackouts; economic inflation hardens at 3% threshold, pivoting to austerity measures.</w:t>
      </w:r>
    </w:p>
    <w:p w14:paraId="64C44349" w14:textId="4B330F82" w:rsidR="00586CA5" w:rsidRPr="002269DB" w:rsidRDefault="00586CA5" w:rsidP="00586CA5">
      <w:pPr>
        <w:spacing w:before="100" w:beforeAutospacing="1" w:after="100" w:afterAutospacing="1"/>
        <w:outlineLvl w:val="3"/>
        <w:rPr>
          <w:b/>
          <w:bCs/>
          <w:sz w:val="20"/>
          <w:szCs w:val="20"/>
        </w:rPr>
      </w:pPr>
      <w:r w:rsidRPr="00B0794C">
        <w:rPr>
          <w:rStyle w:val="Heading3Char"/>
          <w:sz w:val="24"/>
          <w:szCs w:val="24"/>
        </w:rPr>
        <w:t>Sequence 16: Stagflation Trap</w:t>
      </w:r>
      <w:r w:rsidR="00F655B4" w:rsidRPr="00B0794C">
        <w:rPr>
          <w:rStyle w:val="Heading3Char"/>
          <w:sz w:val="24"/>
          <w:szCs w:val="24"/>
        </w:rPr>
        <w:t xml:space="preserve"> (Grok)</w:t>
      </w:r>
      <w:r w:rsidR="00F655B4" w:rsidRPr="00B0794C">
        <w:rPr>
          <w:rStyle w:val="Heading3Char"/>
          <w:sz w:val="24"/>
          <w:szCs w:val="24"/>
        </w:rPr>
        <w:br/>
      </w:r>
      <w:r w:rsidR="00F655B4">
        <w:rPr>
          <w:b/>
          <w:bCs/>
          <w:sz w:val="20"/>
          <w:szCs w:val="20"/>
        </w:rPr>
        <w:t>Normalized Probability: 1.7%</w:t>
      </w:r>
    </w:p>
    <w:p w14:paraId="58562EB2" w14:textId="77777777" w:rsidR="00586CA5" w:rsidRPr="002269DB" w:rsidRDefault="00586CA5" w:rsidP="00541AD1">
      <w:r w:rsidRPr="002269DB">
        <w:rPr>
          <w:b/>
          <w:bCs/>
        </w:rPr>
        <w:t>Narrative</w:t>
      </w:r>
      <w:r w:rsidRPr="002269DB">
        <w:t>: A stagflationary trap ensnares the economy as constraints compound into persistent stagnation. Inflation surges to 3.2% from housing and energy costs, forcing real rates to remain restrictive at 2.5% with minimal policy relief. AI experiences a full capex reckoning, with raw scaling halted and orchestration delayed, leading to a 30% investment pullback. Infrastructure collapses under AI demand, with brownouts affecting 20% of the grid and interconnections stalled at 10 GW. Labor displacement hits hard, with mid-skill job losses driving productivity down 1% and consumption contracting 2%. GDP stagnates at 0.8%, with equities falling 10-15% in a risk-off environment.</w:t>
      </w:r>
    </w:p>
    <w:p w14:paraId="24AF4AA6" w14:textId="77777777" w:rsidR="00586CA5" w:rsidRPr="002269DB" w:rsidRDefault="00586CA5" w:rsidP="00541AD1">
      <w:r w:rsidRPr="002269DB">
        <w:rPr>
          <w:b/>
          <w:bCs/>
        </w:rPr>
        <w:t>Bayesian Rationale</w:t>
      </w:r>
      <w:r w:rsidRPr="002269DB">
        <w:t>: From the base prior (P=55-60%), this low-probability downside activates if inflation reaccelerates sharply (Event A, prior P=20%), locking in restrictive rates (Event B|A)=90%. AI scaling stalls completely (Event C|B)=80% amid capital flight. Extreme grid failures ensue (Event D|C)=85%, with brownouts cascading. Severe displacement follows (Event E|D)=75%, deepening stagnation. Probabilities compound negatively if Q1 data disappoints (updated P=12%), entrenching the trap.</w:t>
      </w:r>
    </w:p>
    <w:p w14:paraId="083B877A" w14:textId="7EAC2466" w:rsidR="00D231AC" w:rsidRDefault="00F20376" w:rsidP="00F20376">
      <w:pPr>
        <w:spacing w:before="100" w:beforeAutospacing="1" w:after="100" w:afterAutospacing="1"/>
        <w:rPr>
          <w:sz w:val="20"/>
          <w:szCs w:val="20"/>
        </w:rPr>
      </w:pPr>
      <w:r w:rsidRPr="00B0794C">
        <w:rPr>
          <w:rStyle w:val="Heading3Char"/>
          <w:sz w:val="24"/>
          <w:szCs w:val="24"/>
        </w:rPr>
        <w:t>Sequence 17: “Constrained Acceleration” (Base Case</w:t>
      </w:r>
      <w:r w:rsidR="00D231AC" w:rsidRPr="00B0794C">
        <w:rPr>
          <w:rStyle w:val="Heading3Char"/>
          <w:sz w:val="24"/>
          <w:szCs w:val="24"/>
        </w:rPr>
        <w:t>; Claude</w:t>
      </w:r>
      <w:r w:rsidRPr="00B0794C">
        <w:rPr>
          <w:rStyle w:val="Heading3Char"/>
          <w:sz w:val="24"/>
          <w:szCs w:val="24"/>
        </w:rPr>
        <w:t>)</w:t>
      </w:r>
      <w:r w:rsidR="00D231AC" w:rsidRPr="00B0794C">
        <w:rPr>
          <w:rStyle w:val="Heading3Char"/>
          <w:sz w:val="24"/>
          <w:szCs w:val="24"/>
        </w:rPr>
        <w:br/>
      </w:r>
      <w:r w:rsidR="00D231AC">
        <w:rPr>
          <w:b/>
          <w:bCs/>
          <w:sz w:val="20"/>
          <w:szCs w:val="20"/>
        </w:rPr>
        <w:t>Normalized Probability: 9.1%</w:t>
      </w:r>
      <w:r w:rsidRPr="005F2246">
        <w:rPr>
          <w:sz w:val="20"/>
          <w:szCs w:val="20"/>
        </w:rPr>
        <w:t xml:space="preserve"> </w:t>
      </w:r>
    </w:p>
    <w:p w14:paraId="06B79902" w14:textId="77777777" w:rsidR="00D231AC" w:rsidRDefault="00D231AC" w:rsidP="00CE10D6">
      <w:r w:rsidRPr="00D231AC">
        <w:rPr>
          <w:b/>
          <w:bCs/>
        </w:rPr>
        <w:t>Narrative</w:t>
      </w:r>
      <w:r>
        <w:t xml:space="preserve">: </w:t>
      </w:r>
      <w:r w:rsidR="00F20376" w:rsidRPr="005F2246">
        <w:t xml:space="preserve">In this scenario, Q1 2026 extends AI capex momentum to roughly </w:t>
      </w:r>
      <w:r w:rsidR="00F20376" w:rsidRPr="005F2246">
        <w:rPr>
          <w:b/>
          <w:bCs/>
        </w:rPr>
        <w:t>$220B+ annualized</w:t>
      </w:r>
      <w:r w:rsidR="00F20376" w:rsidRPr="005F2246">
        <w:t xml:space="preserve">, but regional power constraints force geographic concentration of new builds. The Fed holds the </w:t>
      </w:r>
      <w:r w:rsidR="00F20376" w:rsidRPr="005F2246">
        <w:rPr>
          <w:b/>
          <w:bCs/>
        </w:rPr>
        <w:t>4.25%–4.50%</w:t>
      </w:r>
      <w:r w:rsidR="00F20376" w:rsidRPr="005F2246">
        <w:t xml:space="preserve"> federal funds rate through Q2 as services inflation persists near </w:t>
      </w:r>
      <w:r w:rsidR="00F20376" w:rsidRPr="005F2246">
        <w:rPr>
          <w:b/>
          <w:bCs/>
        </w:rPr>
        <w:t>2.8%</w:t>
      </w:r>
      <w:r w:rsidR="00F20376" w:rsidRPr="005F2246">
        <w:t xml:space="preserve">. By Q3, “orchestration breakthroughs”—with agentic AI reaching </w:t>
      </w:r>
      <w:r w:rsidR="00F20376" w:rsidRPr="005F2246">
        <w:rPr>
          <w:b/>
          <w:bCs/>
        </w:rPr>
        <w:t>35%–40%</w:t>
      </w:r>
      <w:r w:rsidR="00F20376" w:rsidRPr="005F2246">
        <w:t xml:space="preserve"> task automation in knowledge work—produce visible productivity gains in professional services (about </w:t>
      </w:r>
      <w:r w:rsidR="00F20376" w:rsidRPr="005F2246">
        <w:rPr>
          <w:b/>
          <w:bCs/>
        </w:rPr>
        <w:t>+3.2% annualized</w:t>
      </w:r>
      <w:r w:rsidR="00F20376" w:rsidRPr="005F2246">
        <w:t xml:space="preserve">). At the same time, grid interconnection delays push roughly </w:t>
      </w:r>
      <w:r w:rsidR="00F20376" w:rsidRPr="005F2246">
        <w:rPr>
          <w:b/>
          <w:bCs/>
        </w:rPr>
        <w:t>40%</w:t>
      </w:r>
      <w:r w:rsidR="00F20376" w:rsidRPr="005F2246">
        <w:t xml:space="preserve"> of planned data-center capacity into </w:t>
      </w:r>
      <w:r w:rsidR="00F20376" w:rsidRPr="005F2246">
        <w:rPr>
          <w:b/>
          <w:bCs/>
        </w:rPr>
        <w:t>2027–28</w:t>
      </w:r>
      <w:r w:rsidR="00F20376" w:rsidRPr="005F2246">
        <w:t xml:space="preserve">, contributing to a “mini-correction” in cloud infrastructure equities (approximately </w:t>
      </w:r>
      <w:r w:rsidR="00F20376" w:rsidRPr="005F2246">
        <w:rPr>
          <w:b/>
          <w:bCs/>
        </w:rPr>
        <w:t>-15% to -20%</w:t>
      </w:r>
      <w:r w:rsidR="00F20376" w:rsidRPr="005F2246">
        <w:t xml:space="preserve">) as hyperscalers pivot toward efficiency. The labor market remains tight (unemployment around </w:t>
      </w:r>
      <w:r w:rsidR="00F20376" w:rsidRPr="005F2246">
        <w:rPr>
          <w:b/>
          <w:bCs/>
        </w:rPr>
        <w:t>3.9%–4.1%</w:t>
      </w:r>
      <w:r w:rsidR="00F20376" w:rsidRPr="005F2246">
        <w:t xml:space="preserve">), but wage growth decelerates toward </w:t>
      </w:r>
      <w:r w:rsidR="00F20376" w:rsidRPr="005F2246">
        <w:rPr>
          <w:b/>
          <w:bCs/>
        </w:rPr>
        <w:t>3.5%</w:t>
      </w:r>
      <w:r w:rsidR="00F20376" w:rsidRPr="005F2246">
        <w:t xml:space="preserve"> as early white-collar displacement begins to offset continued strength in services employment. </w:t>
      </w:r>
    </w:p>
    <w:p w14:paraId="42BC46D4" w14:textId="1799DD08" w:rsidR="00F20376" w:rsidRPr="005F2246" w:rsidRDefault="00D231AC" w:rsidP="00CE10D6">
      <w:r w:rsidRPr="00D231AC">
        <w:rPr>
          <w:b/>
          <w:bCs/>
        </w:rPr>
        <w:t>Bayesian Rationale:</w:t>
      </w:r>
      <w:r>
        <w:t xml:space="preserve"> </w:t>
      </w:r>
      <w:r w:rsidR="00F20376" w:rsidRPr="005F2246">
        <w:t xml:space="preserve">The causal chain emphasizes that grid constraints (P≈0.70) push about </w:t>
      </w:r>
      <w:r w:rsidR="00F20376" w:rsidRPr="005F2246">
        <w:rPr>
          <w:b/>
          <w:bCs/>
        </w:rPr>
        <w:t>60%</w:t>
      </w:r>
      <w:r w:rsidR="00F20376" w:rsidRPr="005F2246">
        <w:t xml:space="preserve"> of new capacity into Texas/Southeast corridors; regional concentration (P≈0.85) raises land and transmission costs by </w:t>
      </w:r>
      <w:r w:rsidR="00F20376" w:rsidRPr="005F2246">
        <w:rPr>
          <w:b/>
          <w:bCs/>
        </w:rPr>
        <w:t>25%–35%</w:t>
      </w:r>
      <w:r w:rsidR="00F20376" w:rsidRPr="005F2246">
        <w:t xml:space="preserve">, extending timelines; timeline extensions (P≈0.75) lead hyperscalers to moderate 2026 capex guidance by </w:t>
      </w:r>
      <w:r w:rsidR="00F20376" w:rsidRPr="005F2246">
        <w:rPr>
          <w:b/>
          <w:bCs/>
        </w:rPr>
        <w:t>12%–15%</w:t>
      </w:r>
      <w:r w:rsidR="00F20376" w:rsidRPr="005F2246">
        <w:t xml:space="preserve"> </w:t>
      </w:r>
      <w:r w:rsidR="00F20376" w:rsidRPr="005F2246">
        <w:lastRenderedPageBreak/>
        <w:t xml:space="preserve">in the second half; capex moderation (P≈0.60) reduces semiconductor equipment orders by </w:t>
      </w:r>
      <w:r w:rsidR="00F20376" w:rsidRPr="005F2246">
        <w:rPr>
          <w:b/>
          <w:bCs/>
        </w:rPr>
        <w:t>8%–10%</w:t>
      </w:r>
      <w:r w:rsidR="00F20376" w:rsidRPr="005F2246">
        <w:t xml:space="preserve"> even as inference-related chip demand stays elevated; orchestration gains (P≈0.55) lift professional-services productivity while masking </w:t>
      </w:r>
      <w:r w:rsidR="00F20376" w:rsidRPr="005F2246">
        <w:rPr>
          <w:b/>
          <w:bCs/>
        </w:rPr>
        <w:t>2%–3%</w:t>
      </w:r>
      <w:r w:rsidR="00F20376" w:rsidRPr="005F2246">
        <w:t xml:space="preserve"> white-collar displacement; and the combined effect (P≈0.70) keeps consumption growth positive but below trend (roughly </w:t>
      </w:r>
      <w:r w:rsidR="00F20376" w:rsidRPr="005F2246">
        <w:rPr>
          <w:b/>
          <w:bCs/>
        </w:rPr>
        <w:t>2.1%–2.4%</w:t>
      </w:r>
      <w:r w:rsidR="00F20376" w:rsidRPr="005F2246">
        <w:t xml:space="preserve">), limiting inflation reacceleration. Hard limits are primarily physical and coordination-based: transformer manufacturing lead times (about </w:t>
      </w:r>
      <w:r w:rsidR="00F20376" w:rsidRPr="005F2246">
        <w:rPr>
          <w:b/>
          <w:bCs/>
        </w:rPr>
        <w:t>52 weeks</w:t>
      </w:r>
      <w:r w:rsidR="00F20376" w:rsidRPr="005F2246">
        <w:t xml:space="preserve">) restrict acceleration beyond roughly </w:t>
      </w:r>
      <w:r w:rsidR="00F20376" w:rsidRPr="005F2246">
        <w:rPr>
          <w:b/>
          <w:bCs/>
        </w:rPr>
        <w:t>15% YoY</w:t>
      </w:r>
      <w:r w:rsidR="00F20376" w:rsidRPr="005F2246">
        <w:t xml:space="preserve"> by Q4 2026, services inflation appears to have a floor near </w:t>
      </w:r>
      <w:r w:rsidR="00F20376" w:rsidRPr="005F2246">
        <w:rPr>
          <w:b/>
          <w:bCs/>
        </w:rPr>
        <w:t>2.5%</w:t>
      </w:r>
      <w:r w:rsidR="00F20376" w:rsidRPr="005F2246">
        <w:t xml:space="preserve"> due to housing and adaptation costs that keeps Fed cuts from moving below </w:t>
      </w:r>
      <w:r w:rsidR="00F20376" w:rsidRPr="005F2246">
        <w:rPr>
          <w:b/>
          <w:bCs/>
        </w:rPr>
        <w:t>4.00%</w:t>
      </w:r>
      <w:r w:rsidR="00F20376" w:rsidRPr="005F2246">
        <w:t xml:space="preserve">, and regional ISO interconnection queues (around </w:t>
      </w:r>
      <w:r w:rsidR="00F20376" w:rsidRPr="005F2246">
        <w:rPr>
          <w:b/>
          <w:bCs/>
        </w:rPr>
        <w:t>4.2 years</w:t>
      </w:r>
      <w:r w:rsidR="00F20376" w:rsidRPr="005F2246">
        <w:t xml:space="preserve"> on average) imply that 2026 approvals typically do not energize until </w:t>
      </w:r>
      <w:r w:rsidR="00F20376" w:rsidRPr="005F2246">
        <w:rPr>
          <w:b/>
          <w:bCs/>
        </w:rPr>
        <w:t>2029–30</w:t>
      </w:r>
      <w:r w:rsidR="00F20376" w:rsidRPr="005F2246">
        <w:t xml:space="preserve">. The primary outcome is </w:t>
      </w:r>
      <w:r w:rsidR="00F20376" w:rsidRPr="005F2246">
        <w:rPr>
          <w:b/>
          <w:bCs/>
        </w:rPr>
        <w:t>moderate GDP growth (~2.3%–2.5%)</w:t>
      </w:r>
      <w:r w:rsidR="00F20376" w:rsidRPr="005F2246">
        <w:t xml:space="preserve">, contained recession risk, and persistent structural inflation that reinforces a “higher for longer” policy regime into 2027, with AI productivity gains concentrated in roughly </w:t>
      </w:r>
      <w:r w:rsidR="00F20376" w:rsidRPr="005F2246">
        <w:rPr>
          <w:b/>
          <w:bCs/>
        </w:rPr>
        <w:t>20%</w:t>
      </w:r>
      <w:r w:rsidR="00F20376" w:rsidRPr="005F2246">
        <w:t xml:space="preserve"> of sectors.</w:t>
      </w:r>
    </w:p>
    <w:p w14:paraId="2B4F8ECF" w14:textId="43FEE685" w:rsidR="00D231AC" w:rsidRDefault="00F20376" w:rsidP="00F20376">
      <w:pPr>
        <w:spacing w:before="100" w:beforeAutospacing="1" w:after="100" w:afterAutospacing="1"/>
        <w:rPr>
          <w:b/>
          <w:bCs/>
          <w:sz w:val="20"/>
          <w:szCs w:val="20"/>
        </w:rPr>
      </w:pPr>
      <w:r w:rsidRPr="00B0794C">
        <w:rPr>
          <w:rStyle w:val="Heading3Char"/>
          <w:sz w:val="24"/>
          <w:szCs w:val="24"/>
        </w:rPr>
        <w:t>Sequence 18: “Orchestration Boom” (Productivity Breakthrough</w:t>
      </w:r>
      <w:r w:rsidR="00D231AC" w:rsidRPr="00B0794C">
        <w:rPr>
          <w:rStyle w:val="Heading3Char"/>
          <w:sz w:val="24"/>
          <w:szCs w:val="24"/>
        </w:rPr>
        <w:t>; Claude</w:t>
      </w:r>
      <w:r w:rsidRPr="00B0794C">
        <w:rPr>
          <w:rStyle w:val="Heading3Char"/>
          <w:sz w:val="24"/>
          <w:szCs w:val="24"/>
        </w:rPr>
        <w:t>)</w:t>
      </w:r>
      <w:r w:rsidR="00D231AC" w:rsidRPr="00B0794C">
        <w:rPr>
          <w:rStyle w:val="Heading3Char"/>
          <w:sz w:val="24"/>
          <w:szCs w:val="24"/>
        </w:rPr>
        <w:br/>
      </w:r>
      <w:r w:rsidR="00D231AC">
        <w:rPr>
          <w:b/>
          <w:bCs/>
          <w:sz w:val="20"/>
          <w:szCs w:val="20"/>
        </w:rPr>
        <w:t>Normalized Probability: 4.8%</w:t>
      </w:r>
    </w:p>
    <w:p w14:paraId="2F8B28A1" w14:textId="75294C41" w:rsidR="00D231AC" w:rsidRDefault="00D231AC" w:rsidP="00CE10D6">
      <w:r w:rsidRPr="00D231AC">
        <w:rPr>
          <w:b/>
          <w:bCs/>
        </w:rPr>
        <w:t>Narrative</w:t>
      </w:r>
      <w:r>
        <w:t>:</w:t>
      </w:r>
      <w:r w:rsidR="00F20376" w:rsidRPr="005F2246">
        <w:t xml:space="preserve"> By Q2, productivity data confirms roughly </w:t>
      </w:r>
      <w:r w:rsidR="00F20376" w:rsidRPr="005F2246">
        <w:rPr>
          <w:b/>
          <w:bCs/>
        </w:rPr>
        <w:t>+4.8%</w:t>
      </w:r>
      <w:r w:rsidR="00F20376" w:rsidRPr="005F2246">
        <w:t xml:space="preserve"> growth in professional services, the fastest pace since the 1990s internet adoption, setting off a reflexive adoption loop: clear ROI drives enterprise AI uptake (about </w:t>
      </w:r>
      <w:r w:rsidR="00F20376" w:rsidRPr="005F2246">
        <w:rPr>
          <w:b/>
          <w:bCs/>
        </w:rPr>
        <w:t>+45% seat growth quarter-over-quarter</w:t>
      </w:r>
      <w:r w:rsidR="00F20376" w:rsidRPr="005F2246">
        <w:t xml:space="preserve">) and supports continued hyperscaler capex even under grid constraints. As productivity gains offset wage pressures, the Fed gains room to ease, cutting roughly </w:t>
      </w:r>
      <w:r w:rsidR="00F20376" w:rsidRPr="005F2246">
        <w:rPr>
          <w:b/>
          <w:bCs/>
        </w:rPr>
        <w:t>50 bps</w:t>
      </w:r>
      <w:r w:rsidR="00F20376" w:rsidRPr="005F2246">
        <w:t xml:space="preserve"> to </w:t>
      </w:r>
      <w:r w:rsidR="00F20376" w:rsidRPr="005F2246">
        <w:rPr>
          <w:b/>
          <w:bCs/>
        </w:rPr>
        <w:t>3.75%–4.00%</w:t>
      </w:r>
      <w:r w:rsidR="00F20376" w:rsidRPr="005F2246">
        <w:t xml:space="preserve"> by September. The tradeoff is sharper labor bifurcation: by year-end, white-collar displacement reaches </w:t>
      </w:r>
      <w:r w:rsidR="00F20376" w:rsidRPr="005F2246">
        <w:rPr>
          <w:b/>
          <w:bCs/>
        </w:rPr>
        <w:t>6%–7%</w:t>
      </w:r>
      <w:r w:rsidR="00F20376" w:rsidRPr="005F2246">
        <w:t xml:space="preserve"> in targeted sectors, alongside surging demand for “AI orchestration specialists” (around </w:t>
      </w:r>
      <w:r w:rsidR="00F20376" w:rsidRPr="005F2246">
        <w:rPr>
          <w:b/>
          <w:bCs/>
        </w:rPr>
        <w:t>+320k</w:t>
      </w:r>
      <w:r w:rsidR="00F20376" w:rsidRPr="005F2246">
        <w:t xml:space="preserve"> jobs) and rising structural unemployment in routine cognitive work (about </w:t>
      </w:r>
      <w:r w:rsidR="00F20376" w:rsidRPr="005F2246">
        <w:rPr>
          <w:b/>
          <w:bCs/>
        </w:rPr>
        <w:t>+890k</w:t>
      </w:r>
      <w:r w:rsidR="00F20376" w:rsidRPr="005F2246">
        <w:t xml:space="preserve"> displaced). </w:t>
      </w:r>
    </w:p>
    <w:p w14:paraId="3789340E" w14:textId="7527A016" w:rsidR="00F20376" w:rsidRPr="005F2246" w:rsidRDefault="00D231AC" w:rsidP="00CE10D6">
      <w:r w:rsidRPr="00D231AC">
        <w:rPr>
          <w:b/>
          <w:bCs/>
        </w:rPr>
        <w:t>Bayesian Rationale</w:t>
      </w:r>
      <w:r>
        <w:t xml:space="preserve">: </w:t>
      </w:r>
      <w:r w:rsidR="00F20376" w:rsidRPr="005F2246">
        <w:t xml:space="preserve">The causal chain weights orchestration success (P≈0.35) leading to &gt;50% automation in multiple sectors; visible ROI (P≈0.80) accelerating AI spending </w:t>
      </w:r>
      <w:r w:rsidR="00F20376" w:rsidRPr="005F2246">
        <w:rPr>
          <w:b/>
          <w:bCs/>
        </w:rPr>
        <w:t>40%–50% YoY</w:t>
      </w:r>
      <w:r w:rsidR="00F20376" w:rsidRPr="005F2246">
        <w:t xml:space="preserve">; spending momentum (P≈0.70) sustaining hyperscaler capex via an efficiency/inference shift; productivity gains (P≈0.75) lowering unit labor costs by roughly </w:t>
      </w:r>
      <w:r w:rsidR="00F20376" w:rsidRPr="005F2246">
        <w:rPr>
          <w:b/>
          <w:bCs/>
        </w:rPr>
        <w:t>1.2%–1.5%</w:t>
      </w:r>
      <w:r w:rsidR="00F20376" w:rsidRPr="005F2246">
        <w:t xml:space="preserve">; disinflation (P≈0.65) enabling </w:t>
      </w:r>
      <w:r w:rsidR="00F20376" w:rsidRPr="005F2246">
        <w:rPr>
          <w:b/>
          <w:bCs/>
        </w:rPr>
        <w:t>50–75 bps</w:t>
      </w:r>
      <w:r w:rsidR="00F20376" w:rsidRPr="005F2246">
        <w:t xml:space="preserve"> of cuts; and displacement effects (P≈0.80) that are partially absorbed over time (roughly </w:t>
      </w:r>
      <w:r w:rsidR="00F20376" w:rsidRPr="005F2246">
        <w:rPr>
          <w:b/>
          <w:bCs/>
        </w:rPr>
        <w:t>35%</w:t>
      </w:r>
      <w:r w:rsidR="00F20376" w:rsidRPr="005F2246">
        <w:t xml:space="preserve"> reabsorbed within 18 months). Hard limits include sociopolitical tolerance—displacement above </w:t>
      </w:r>
      <w:r w:rsidR="00F20376" w:rsidRPr="005F2246">
        <w:rPr>
          <w:b/>
          <w:bCs/>
        </w:rPr>
        <w:t>7%</w:t>
      </w:r>
      <w:r w:rsidR="00F20376" w:rsidRPr="005F2246">
        <w:t xml:space="preserve"> triggers backlash and makes policy intervention (UBI pilots, retraining subsidies) likely by Q4—measurement distortions because gains are concentrated in only about </w:t>
      </w:r>
      <w:r w:rsidR="00F20376" w:rsidRPr="005F2246">
        <w:rPr>
          <w:b/>
          <w:bCs/>
        </w:rPr>
        <w:t>15%</w:t>
      </w:r>
      <w:r w:rsidR="00F20376" w:rsidRPr="005F2246">
        <w:t xml:space="preserve"> of the economy, and infrastructure ceilings as inference demand still approaches </w:t>
      </w:r>
      <w:r w:rsidR="00F20376" w:rsidRPr="005F2246">
        <w:rPr>
          <w:b/>
          <w:bCs/>
        </w:rPr>
        <w:t>25–28 GW</w:t>
      </w:r>
      <w:r w:rsidR="00F20376" w:rsidRPr="005F2246">
        <w:t xml:space="preserve"> by year-end, nearing the 2027 grid limit. The primary outcome is faster GDP growth (</w:t>
      </w:r>
      <w:r w:rsidR="00F20376" w:rsidRPr="005F2246">
        <w:rPr>
          <w:b/>
          <w:bCs/>
        </w:rPr>
        <w:t>~2.8%–3.1%</w:t>
      </w:r>
      <w:r w:rsidR="00F20376" w:rsidRPr="005F2246">
        <w:t>) driven by productivity, moderating inflation (</w:t>
      </w:r>
      <w:r w:rsidR="00F20376" w:rsidRPr="005F2246">
        <w:rPr>
          <w:b/>
          <w:bCs/>
        </w:rPr>
        <w:t>~2.2%–2.5%</w:t>
      </w:r>
      <w:r w:rsidR="00F20376" w:rsidRPr="005F2246">
        <w:t>) that supports Fed easing, and heightened social and political friction as AI becomes a central election-cycle issue.</w:t>
      </w:r>
    </w:p>
    <w:p w14:paraId="29C45386" w14:textId="77777777" w:rsidR="00762451" w:rsidRDefault="00762451" w:rsidP="00F20376">
      <w:pPr>
        <w:spacing w:before="100" w:beforeAutospacing="1" w:after="100" w:afterAutospacing="1"/>
        <w:rPr>
          <w:rStyle w:val="Heading3Char"/>
        </w:rPr>
      </w:pPr>
    </w:p>
    <w:p w14:paraId="153CF449" w14:textId="023797B9" w:rsidR="000A6179" w:rsidRDefault="00F20376" w:rsidP="00F20376">
      <w:pPr>
        <w:spacing w:before="100" w:beforeAutospacing="1" w:after="100" w:afterAutospacing="1"/>
        <w:rPr>
          <w:b/>
          <w:bCs/>
          <w:sz w:val="20"/>
          <w:szCs w:val="20"/>
        </w:rPr>
      </w:pPr>
      <w:r w:rsidRPr="00B0794C">
        <w:rPr>
          <w:rStyle w:val="Heading3Char"/>
          <w:sz w:val="24"/>
          <w:szCs w:val="24"/>
        </w:rPr>
        <w:lastRenderedPageBreak/>
        <w:t>Sequence 19: “Grid Crisis Catalyst” (Infrastructure Failure</w:t>
      </w:r>
      <w:r w:rsidR="000A6179" w:rsidRPr="00B0794C">
        <w:rPr>
          <w:rStyle w:val="Heading3Char"/>
          <w:sz w:val="24"/>
          <w:szCs w:val="24"/>
        </w:rPr>
        <w:t>; Claude</w:t>
      </w:r>
      <w:r w:rsidRPr="00B0794C">
        <w:rPr>
          <w:rStyle w:val="Heading3Char"/>
          <w:sz w:val="24"/>
          <w:szCs w:val="24"/>
        </w:rPr>
        <w:t>)</w:t>
      </w:r>
      <w:r w:rsidR="000A6179" w:rsidRPr="00B0794C">
        <w:rPr>
          <w:rStyle w:val="Heading3Char"/>
          <w:sz w:val="24"/>
          <w:szCs w:val="24"/>
        </w:rPr>
        <w:br/>
      </w:r>
      <w:r w:rsidR="000A6179">
        <w:rPr>
          <w:b/>
          <w:bCs/>
          <w:sz w:val="20"/>
          <w:szCs w:val="20"/>
        </w:rPr>
        <w:t>Normalized Probability: 3.9%</w:t>
      </w:r>
    </w:p>
    <w:p w14:paraId="17C1E5EE" w14:textId="77777777" w:rsidR="000A6179" w:rsidRDefault="000A6179" w:rsidP="00CE10D6">
      <w:r w:rsidRPr="000A6179">
        <w:rPr>
          <w:b/>
          <w:bCs/>
        </w:rPr>
        <w:t>Narrative</w:t>
      </w:r>
      <w:r>
        <w:t>:</w:t>
      </w:r>
      <w:r w:rsidR="00F20376" w:rsidRPr="005F2246">
        <w:t xml:space="preserve"> An unseasonably hot Q2 2026—roughly a </w:t>
      </w:r>
      <w:r w:rsidR="00F20376" w:rsidRPr="005F2246">
        <w:rPr>
          <w:b/>
          <w:bCs/>
        </w:rPr>
        <w:t>3σ</w:t>
      </w:r>
      <w:r w:rsidR="00F20376" w:rsidRPr="005F2246">
        <w:t xml:space="preserve"> temperature event across the Sun Belt—triggers cascading grid failures in Texas (ERCOT) and the Southeast. Two major data-center projects suffer multi-week outages, erasing roughly </w:t>
      </w:r>
      <w:r w:rsidR="00F20376" w:rsidRPr="005F2246">
        <w:rPr>
          <w:b/>
          <w:bCs/>
        </w:rPr>
        <w:t>$8–12B</w:t>
      </w:r>
      <w:r w:rsidR="00F20376" w:rsidRPr="005F2246">
        <w:t xml:space="preserve"> in market capitalization and prompting emergency federal intervention. Congress passes an emergency grid modernization package of about </w:t>
      </w:r>
      <w:r w:rsidR="00F20376" w:rsidRPr="005F2246">
        <w:rPr>
          <w:b/>
          <w:bCs/>
        </w:rPr>
        <w:t>$185B over five years</w:t>
      </w:r>
      <w:r w:rsidR="00F20376" w:rsidRPr="005F2246">
        <w:t xml:space="preserve"> by August, but 2026 becomes a “lost year” for AI infrastructure scaling as hyperscaler capex drops about </w:t>
      </w:r>
      <w:r w:rsidR="00F20376" w:rsidRPr="005F2246">
        <w:rPr>
          <w:b/>
          <w:bCs/>
        </w:rPr>
        <w:t>28% quarter-over-quarter</w:t>
      </w:r>
      <w:r w:rsidR="00F20376" w:rsidRPr="005F2246">
        <w:t xml:space="preserve"> in Q3. The crisis nonetheless accelerates regulatory fast-tracking: by Q4, the DOE approves streamlined interconnection standards, and modular nuclear/SMR permitting moves roughly </w:t>
      </w:r>
      <w:r w:rsidR="00F20376" w:rsidRPr="005F2246">
        <w:rPr>
          <w:b/>
          <w:bCs/>
        </w:rPr>
        <w:t>18 months</w:t>
      </w:r>
      <w:r w:rsidR="00F20376" w:rsidRPr="005F2246">
        <w:t xml:space="preserve"> ahead of baseline (with most benefits realized after 2026). AI investment shifts toward efficiency and inference optimization rather than frontier capability scaling, and labor displacement accelerates without the usual new-build job buffer. </w:t>
      </w:r>
    </w:p>
    <w:p w14:paraId="5589233B" w14:textId="66CFB8B9" w:rsidR="00F20376" w:rsidRPr="005F2246" w:rsidRDefault="000A6179" w:rsidP="00CE10D6">
      <w:r w:rsidRPr="000A6179">
        <w:rPr>
          <w:b/>
          <w:bCs/>
        </w:rPr>
        <w:t>Bayesian Rationale:</w:t>
      </w:r>
      <w:r>
        <w:t xml:space="preserve"> </w:t>
      </w:r>
      <w:r w:rsidR="00F20376" w:rsidRPr="005F2246">
        <w:t xml:space="preserve">The causal chain highlights an extreme weather trigger (P≈0.25) compressing reserve margins below </w:t>
      </w:r>
      <w:r w:rsidR="00F20376" w:rsidRPr="005F2246">
        <w:rPr>
          <w:b/>
          <w:bCs/>
        </w:rPr>
        <w:t>8%</w:t>
      </w:r>
      <w:r w:rsidR="00F20376" w:rsidRPr="005F2246">
        <w:t xml:space="preserve"> and forcing outages; outages impacting AI facilities (P≈0.70) taking tier-1 sites offline for </w:t>
      </w:r>
      <w:r w:rsidR="00F20376" w:rsidRPr="005F2246">
        <w:rPr>
          <w:b/>
          <w:bCs/>
        </w:rPr>
        <w:t>15+ days</w:t>
      </w:r>
      <w:r w:rsidR="00F20376" w:rsidRPr="005F2246">
        <w:t xml:space="preserve">; infrastructure failure (P≈0.90) creating bipartisan urgency for a grid bill; federal intervention (P≈0.75) delivering regulatory streamlining over </w:t>
      </w:r>
      <w:r w:rsidR="00F20376" w:rsidRPr="005F2246">
        <w:rPr>
          <w:b/>
          <w:bCs/>
        </w:rPr>
        <w:t>12–18 months</w:t>
      </w:r>
      <w:r w:rsidR="00F20376" w:rsidRPr="005F2246">
        <w:t xml:space="preserve">; capex collapse (P≈0.85) pushing GPU utilization above </w:t>
      </w:r>
      <w:r w:rsidR="00F20376" w:rsidRPr="005F2246">
        <w:rPr>
          <w:b/>
          <w:bCs/>
        </w:rPr>
        <w:t>92%</w:t>
      </w:r>
      <w:r w:rsidR="00F20376" w:rsidRPr="005F2246">
        <w:t xml:space="preserve"> as efficiency becomes paramount; and an efficiency focus (P≈0.65) accelerating white-collar displacement to </w:t>
      </w:r>
      <w:r w:rsidR="00F20376" w:rsidRPr="005F2246">
        <w:rPr>
          <w:b/>
          <w:bCs/>
        </w:rPr>
        <w:t>4%–5%</w:t>
      </w:r>
      <w:r w:rsidR="00F20376" w:rsidRPr="005F2246">
        <w:t xml:space="preserve"> in affected sectors. Hard limits include the grid’s inability to absorb more than roughly </w:t>
      </w:r>
      <w:r w:rsidR="00F20376" w:rsidRPr="005F2246">
        <w:rPr>
          <w:b/>
          <w:bCs/>
        </w:rPr>
        <w:t>6.5%</w:t>
      </w:r>
      <w:r w:rsidR="00F20376" w:rsidRPr="005F2246">
        <w:t xml:space="preserve"> incremental total load from AI without multi-year transmission upgrades, the political reality that decisive coordination often requires a crisis catalyst, and rising insurance costs for co-located AI infrastructure (</w:t>
      </w:r>
      <w:r w:rsidR="00F20376" w:rsidRPr="005F2246">
        <w:rPr>
          <w:b/>
          <w:bCs/>
        </w:rPr>
        <w:t>+40%–60%</w:t>
      </w:r>
      <w:r w:rsidR="00F20376" w:rsidRPr="005F2246">
        <w:t>) that permanently lift hurdle rates. The primary outcome is slower GDP growth (</w:t>
      </w:r>
      <w:r w:rsidR="00F20376" w:rsidRPr="005F2246">
        <w:rPr>
          <w:b/>
          <w:bCs/>
        </w:rPr>
        <w:t>~1.6%–1.9%</w:t>
      </w:r>
      <w:r w:rsidR="00F20376" w:rsidRPr="005F2246">
        <w:t xml:space="preserve">) from the investment shock, a higher recession probability (around </w:t>
      </w:r>
      <w:r w:rsidR="00F20376" w:rsidRPr="005F2246">
        <w:rPr>
          <w:b/>
          <w:bCs/>
        </w:rPr>
        <w:t>35%</w:t>
      </w:r>
      <w:r w:rsidR="00F20376" w:rsidRPr="005F2246">
        <w:t xml:space="preserve"> in H2 2026), and a brief “AI winter” narrative that fades as policy clarity improves into Q4 and sets a tailwind for 2027–28.</w:t>
      </w:r>
    </w:p>
    <w:p w14:paraId="4F118A5C" w14:textId="1735C4FC" w:rsidR="000A6179" w:rsidRDefault="00F20376" w:rsidP="00F20376">
      <w:pPr>
        <w:spacing w:before="100" w:beforeAutospacing="1" w:after="100" w:afterAutospacing="1"/>
        <w:rPr>
          <w:b/>
          <w:bCs/>
          <w:sz w:val="20"/>
          <w:szCs w:val="20"/>
        </w:rPr>
      </w:pPr>
      <w:r w:rsidRPr="00B0794C">
        <w:rPr>
          <w:rStyle w:val="Heading3Char"/>
          <w:sz w:val="24"/>
          <w:szCs w:val="24"/>
        </w:rPr>
        <w:t>Sequence 20: “Capital Retrenchment” (Mini-Cycle Correction</w:t>
      </w:r>
      <w:r w:rsidR="000A6179" w:rsidRPr="00B0794C">
        <w:rPr>
          <w:rStyle w:val="Heading3Char"/>
          <w:sz w:val="24"/>
          <w:szCs w:val="24"/>
        </w:rPr>
        <w:t>; Claude</w:t>
      </w:r>
      <w:r w:rsidRPr="00B0794C">
        <w:rPr>
          <w:rStyle w:val="Heading3Char"/>
          <w:sz w:val="24"/>
          <w:szCs w:val="24"/>
        </w:rPr>
        <w:t>)</w:t>
      </w:r>
      <w:r w:rsidR="000A6179" w:rsidRPr="00B0794C">
        <w:rPr>
          <w:rStyle w:val="Heading3Char"/>
          <w:sz w:val="24"/>
          <w:szCs w:val="24"/>
        </w:rPr>
        <w:br/>
      </w:r>
      <w:r w:rsidR="000A6179">
        <w:rPr>
          <w:b/>
          <w:bCs/>
          <w:sz w:val="20"/>
          <w:szCs w:val="20"/>
        </w:rPr>
        <w:t>Normalized Probability: 2.6%</w:t>
      </w:r>
    </w:p>
    <w:p w14:paraId="5CA3BF81" w14:textId="77777777" w:rsidR="000A6179" w:rsidRDefault="000A6179" w:rsidP="00CE10D6">
      <w:r>
        <w:t xml:space="preserve">Narrative: </w:t>
      </w:r>
      <w:r w:rsidR="00F20376" w:rsidRPr="005F2246">
        <w:t xml:space="preserve">Q1 2026 earnings reveal disappointing returns on 2025 AI investments: enterprise adoption lags capex by </w:t>
      </w:r>
      <w:r w:rsidR="00F20376" w:rsidRPr="005F2246">
        <w:rPr>
          <w:b/>
          <w:bCs/>
        </w:rPr>
        <w:t>18–24 months</w:t>
      </w:r>
      <w:r w:rsidR="00F20376" w:rsidRPr="005F2246">
        <w:t xml:space="preserve">, GPU utilization averages only about </w:t>
      </w:r>
      <w:r w:rsidR="00F20376" w:rsidRPr="005F2246">
        <w:rPr>
          <w:b/>
          <w:bCs/>
        </w:rPr>
        <w:t>62%</w:t>
      </w:r>
      <w:r w:rsidR="00F20376" w:rsidRPr="005F2246">
        <w:t xml:space="preserve">, and “vaporware” concerns surface around agentic capabilities. Hyperscaler equities decline </w:t>
      </w:r>
      <w:r w:rsidR="00F20376" w:rsidRPr="005F2246">
        <w:rPr>
          <w:b/>
          <w:bCs/>
        </w:rPr>
        <w:t>25%–35%</w:t>
      </w:r>
      <w:r w:rsidR="00F20376" w:rsidRPr="005F2246">
        <w:t xml:space="preserve"> by March, forcing capex reductions that push aggregate cloud infrastructure spending down about </w:t>
      </w:r>
      <w:r w:rsidR="00F20376" w:rsidRPr="005F2246">
        <w:rPr>
          <w:b/>
          <w:bCs/>
        </w:rPr>
        <w:t>22% YoY</w:t>
      </w:r>
      <w:r w:rsidR="00F20376" w:rsidRPr="005F2246">
        <w:t xml:space="preserve"> by Q3. The retrenchment cascades into semiconductors—equipment orders fall roughly </w:t>
      </w:r>
      <w:r w:rsidR="00F20376" w:rsidRPr="005F2246">
        <w:rPr>
          <w:b/>
          <w:bCs/>
        </w:rPr>
        <w:t>40%</w:t>
      </w:r>
      <w:r w:rsidR="00F20376" w:rsidRPr="005F2246">
        <w:t xml:space="preserve">, leading AI-linked equities (e.g., Nvidia/AMD) decline </w:t>
      </w:r>
      <w:r w:rsidR="00F20376" w:rsidRPr="005F2246">
        <w:rPr>
          <w:b/>
          <w:bCs/>
        </w:rPr>
        <w:t>30%–40%</w:t>
      </w:r>
      <w:r w:rsidR="00F20376" w:rsidRPr="005F2246">
        <w:t xml:space="preserve">, and </w:t>
      </w:r>
      <w:r w:rsidR="00F20376" w:rsidRPr="005F2246">
        <w:rPr>
          <w:b/>
          <w:bCs/>
        </w:rPr>
        <w:t>15,000+</w:t>
      </w:r>
      <w:r w:rsidR="00F20376" w:rsidRPr="005F2246">
        <w:t xml:space="preserve"> AI-adjacent layoffs occur. Importantly, the correction is framed as ultimately constructive: by Q4, capital becomes more disciplined and shifts toward proven use cases (customer service automation, code completion, content generation), supporting steadier </w:t>
      </w:r>
      <w:r w:rsidR="00F20376" w:rsidRPr="005F2246">
        <w:rPr>
          <w:b/>
          <w:bCs/>
        </w:rPr>
        <w:t>15%–20%</w:t>
      </w:r>
      <w:r w:rsidR="00F20376" w:rsidRPr="005F2246">
        <w:t xml:space="preserve"> adoption growth. </w:t>
      </w:r>
      <w:r w:rsidR="00F20376" w:rsidRPr="005F2246">
        <w:lastRenderedPageBreak/>
        <w:t xml:space="preserve">The Fed interprets the slowdown as recessionary risk and cuts to roughly </w:t>
      </w:r>
      <w:r w:rsidR="00F20376" w:rsidRPr="005F2246">
        <w:rPr>
          <w:b/>
          <w:bCs/>
        </w:rPr>
        <w:t>3.50%</w:t>
      </w:r>
      <w:r w:rsidR="00F20376" w:rsidRPr="005F2246">
        <w:t xml:space="preserve"> by December, though services inflation remains sticky near </w:t>
      </w:r>
      <w:r w:rsidR="00F20376" w:rsidRPr="005F2246">
        <w:rPr>
          <w:b/>
          <w:bCs/>
        </w:rPr>
        <w:t>2.6%–2.8%</w:t>
      </w:r>
      <w:r w:rsidR="00F20376" w:rsidRPr="005F2246">
        <w:t xml:space="preserve">. </w:t>
      </w:r>
    </w:p>
    <w:p w14:paraId="31209BD1" w14:textId="4A4637F0" w:rsidR="00F20376" w:rsidRPr="005F2246" w:rsidRDefault="000A6179" w:rsidP="00CE10D6">
      <w:r>
        <w:t xml:space="preserve">Bayesian Rationale: </w:t>
      </w:r>
      <w:r w:rsidR="00F20376" w:rsidRPr="005F2246">
        <w:t xml:space="preserve">The causal chain moves from ROI disappointment (P≈0.18) to slower spending growth (&lt;20%) early in the year, then to reduced hyperscaler guidance (P≈0.85), a mini-downcycle in semis (P≈0.90), an equity correction of </w:t>
      </w:r>
      <w:r w:rsidR="00F20376" w:rsidRPr="005F2246">
        <w:rPr>
          <w:b/>
          <w:bCs/>
        </w:rPr>
        <w:t>12%–18%</w:t>
      </w:r>
      <w:r w:rsidR="00F20376" w:rsidRPr="005F2246">
        <w:t xml:space="preserve"> that trims consumption via wealth effects (P≈0.70), preemptive Fed cuts of </w:t>
      </w:r>
      <w:r w:rsidR="00F20376" w:rsidRPr="005F2246">
        <w:rPr>
          <w:b/>
          <w:bCs/>
        </w:rPr>
        <w:t>100–125 bps</w:t>
      </w:r>
      <w:r w:rsidR="00F20376" w:rsidRPr="005F2246">
        <w:t xml:space="preserve"> (P≈0.75), and limited real-rate relief because housing/services inflation stays elevated (P≈0.60). Hard limits include valuation sensitivity (AI leaders at </w:t>
      </w:r>
      <w:r w:rsidR="00F20376" w:rsidRPr="005F2246">
        <w:rPr>
          <w:b/>
          <w:bCs/>
        </w:rPr>
        <w:t>45–65x</w:t>
      </w:r>
      <w:r w:rsidR="00F20376" w:rsidRPr="005F2246">
        <w:t xml:space="preserve"> earnings invite mechanical de-rating when ROI disappoints), a Fed floor near </w:t>
      </w:r>
      <w:r w:rsidR="00F20376" w:rsidRPr="005F2246">
        <w:rPr>
          <w:b/>
          <w:bCs/>
        </w:rPr>
        <w:t>3.25%</w:t>
      </w:r>
      <w:r w:rsidR="00F20376" w:rsidRPr="005F2246">
        <w:t xml:space="preserve"> to avoid reigniting services inflation above 3%, and the psychological persistence of an “AI skepticism” narrative that typically takes </w:t>
      </w:r>
      <w:r w:rsidR="00F20376" w:rsidRPr="005F2246">
        <w:rPr>
          <w:b/>
          <w:bCs/>
        </w:rPr>
        <w:t>3–4 quarters</w:t>
      </w:r>
      <w:r w:rsidR="00F20376" w:rsidRPr="005F2246">
        <w:t xml:space="preserve"> of evidence to reverse. The primary outcome is slower growth (</w:t>
      </w:r>
      <w:r w:rsidR="00F20376" w:rsidRPr="005F2246">
        <w:rPr>
          <w:b/>
          <w:bCs/>
        </w:rPr>
        <w:t>~1.4%–1.8%</w:t>
      </w:r>
      <w:r w:rsidR="00F20376" w:rsidRPr="005F2246">
        <w:t>), higher unemployment (</w:t>
      </w:r>
      <w:r w:rsidR="00F20376" w:rsidRPr="005F2246">
        <w:rPr>
          <w:b/>
          <w:bCs/>
        </w:rPr>
        <w:t>~4.4%–4.6%</w:t>
      </w:r>
      <w:r w:rsidR="00F20376" w:rsidRPr="005F2246">
        <w:t>), and a narrowly avoided recession, with 2026 functioning as a reset year that improves the quality of 2027 growth.</w:t>
      </w:r>
    </w:p>
    <w:p w14:paraId="7E427854" w14:textId="76EC055C" w:rsidR="00D215A9" w:rsidRPr="00D215A9" w:rsidRDefault="00F20376" w:rsidP="00F20376">
      <w:pPr>
        <w:spacing w:before="100" w:beforeAutospacing="1" w:after="100" w:afterAutospacing="1"/>
        <w:rPr>
          <w:b/>
          <w:bCs/>
          <w:sz w:val="20"/>
          <w:szCs w:val="20"/>
        </w:rPr>
      </w:pPr>
      <w:r w:rsidRPr="00B0794C">
        <w:rPr>
          <w:rStyle w:val="Heading3Char"/>
          <w:sz w:val="24"/>
          <w:szCs w:val="24"/>
        </w:rPr>
        <w:t>Sequence 21: “Stagflationary Trap” (Worst Case</w:t>
      </w:r>
      <w:r w:rsidR="000A6179" w:rsidRPr="00B0794C">
        <w:rPr>
          <w:rStyle w:val="Heading3Char"/>
          <w:sz w:val="24"/>
          <w:szCs w:val="24"/>
        </w:rPr>
        <w:t>; Claude</w:t>
      </w:r>
      <w:r w:rsidRPr="00B0794C">
        <w:rPr>
          <w:rStyle w:val="Heading3Char"/>
          <w:sz w:val="24"/>
          <w:szCs w:val="24"/>
        </w:rPr>
        <w:t xml:space="preserve">) </w:t>
      </w:r>
      <w:r w:rsidR="000A6179" w:rsidRPr="00B0794C">
        <w:rPr>
          <w:rStyle w:val="Heading3Char"/>
          <w:sz w:val="24"/>
          <w:szCs w:val="24"/>
        </w:rPr>
        <w:br/>
      </w:r>
      <w:r w:rsidR="000A6179" w:rsidRPr="00D215A9">
        <w:rPr>
          <w:b/>
          <w:bCs/>
          <w:sz w:val="20"/>
          <w:szCs w:val="20"/>
        </w:rPr>
        <w:t xml:space="preserve">Normalized Probability: </w:t>
      </w:r>
      <w:r w:rsidR="00D215A9" w:rsidRPr="00D215A9">
        <w:rPr>
          <w:b/>
          <w:bCs/>
          <w:sz w:val="20"/>
          <w:szCs w:val="20"/>
        </w:rPr>
        <w:t>1.3%</w:t>
      </w:r>
    </w:p>
    <w:p w14:paraId="5C448ED8" w14:textId="77777777" w:rsidR="00D215A9" w:rsidRDefault="00D215A9" w:rsidP="00CE10D6">
      <w:r w:rsidRPr="00D215A9">
        <w:rPr>
          <w:b/>
          <w:bCs/>
        </w:rPr>
        <w:t>Narrative</w:t>
      </w:r>
      <w:r>
        <w:t xml:space="preserve">: </w:t>
      </w:r>
      <w:r w:rsidR="00F20376" w:rsidRPr="005F2246">
        <w:t xml:space="preserve">In Q1 2026, multiple adverse shocks converge: an OPEC+ surprise production cut raises oil by roughly </w:t>
      </w:r>
      <w:r w:rsidR="00F20376" w:rsidRPr="005F2246">
        <w:rPr>
          <w:b/>
          <w:bCs/>
        </w:rPr>
        <w:t>$15/barrel</w:t>
      </w:r>
      <w:r w:rsidR="00F20376" w:rsidRPr="005F2246">
        <w:t xml:space="preserve">, geopolitical escalation increases Taiwan Strait risk and disrupts about </w:t>
      </w:r>
      <w:r w:rsidR="00F20376" w:rsidRPr="005F2246">
        <w:rPr>
          <w:b/>
          <w:bCs/>
        </w:rPr>
        <w:t>22%</w:t>
      </w:r>
      <w:r w:rsidR="00F20376" w:rsidRPr="005F2246">
        <w:t xml:space="preserve"> of the semiconductor supply chain, and domestic policy uncertainty—particularly restrictive immigration enforcement—removes roughly </w:t>
      </w:r>
      <w:r w:rsidR="00F20376" w:rsidRPr="005F2246">
        <w:rPr>
          <w:b/>
          <w:bCs/>
        </w:rPr>
        <w:t>380k</w:t>
      </w:r>
      <w:r w:rsidR="00F20376" w:rsidRPr="005F2246">
        <w:t xml:space="preserve"> workers from the labor force. Services inflation reaccelerates to around </w:t>
      </w:r>
      <w:r w:rsidR="00F20376" w:rsidRPr="005F2246">
        <w:rPr>
          <w:b/>
          <w:bCs/>
        </w:rPr>
        <w:t>3.4%</w:t>
      </w:r>
      <w:r w:rsidR="00F20376" w:rsidRPr="005F2246">
        <w:t xml:space="preserve"> by Q2 as labor supply tightens, while grid constraints and supply-chain disruption prevent productivity offsets. The Fed faces a policy dilemma—tighten into weakening growth or tolerate </w:t>
      </w:r>
      <w:r w:rsidR="00F20376" w:rsidRPr="005F2246">
        <w:rPr>
          <w:b/>
          <w:bCs/>
        </w:rPr>
        <w:t>3.0%+</w:t>
      </w:r>
      <w:r w:rsidR="00F20376" w:rsidRPr="005F2246">
        <w:t xml:space="preserve"> core PCE—and chooses tighter policy, raising rates to about </w:t>
      </w:r>
      <w:r w:rsidR="00F20376" w:rsidRPr="005F2246">
        <w:rPr>
          <w:b/>
          <w:bCs/>
        </w:rPr>
        <w:t>5.00%</w:t>
      </w:r>
      <w:r w:rsidR="00F20376" w:rsidRPr="005F2246">
        <w:t xml:space="preserve"> by July. That triggers renewed credit stress (including regional bank CRE issues) and a broad investment downturn, with AI capex falling roughly </w:t>
      </w:r>
      <w:r w:rsidR="00F20376" w:rsidRPr="005F2246">
        <w:rPr>
          <w:b/>
          <w:bCs/>
        </w:rPr>
        <w:t>35%</w:t>
      </w:r>
      <w:r w:rsidR="00F20376" w:rsidRPr="005F2246">
        <w:t xml:space="preserve">, unemployment rising toward </w:t>
      </w:r>
      <w:r w:rsidR="00F20376" w:rsidRPr="005F2246">
        <w:rPr>
          <w:b/>
          <w:bCs/>
        </w:rPr>
        <w:t>5.2%</w:t>
      </w:r>
      <w:r w:rsidR="00F20376" w:rsidRPr="005F2246">
        <w:t xml:space="preserve"> by December, and inflation remaining stubborn around </w:t>
      </w:r>
      <w:r w:rsidR="00F20376" w:rsidRPr="005F2246">
        <w:rPr>
          <w:b/>
          <w:bCs/>
        </w:rPr>
        <w:t>2.9%–3.1%</w:t>
      </w:r>
      <w:r w:rsidR="00F20376" w:rsidRPr="005F2246">
        <w:t xml:space="preserve"> amid supply constraints. Political paralysis prevents meaningful fiscal or infrastructure response. </w:t>
      </w:r>
    </w:p>
    <w:p w14:paraId="6DE2EBDA" w14:textId="750343CE" w:rsidR="00874379" w:rsidRPr="00D215A9" w:rsidRDefault="00D215A9" w:rsidP="00CE10D6">
      <w:r w:rsidRPr="00D215A9">
        <w:rPr>
          <w:b/>
          <w:bCs/>
        </w:rPr>
        <w:t>Bayesian Rationale:</w:t>
      </w:r>
      <w:r>
        <w:t xml:space="preserve"> </w:t>
      </w:r>
      <w:r w:rsidR="00F20376" w:rsidRPr="005F2246">
        <w:t xml:space="preserve">The causal chain assigns low probability to triple-shock convergence (P≈0.08) but high conditional likelihood that supply shocks push services inflation higher (P≈0.90), that the Fed responds with additional hikes (P≈0.75), that tightening into weakness produces credit stress (P≈0.85), that credit stress collapses investment </w:t>
      </w:r>
      <w:r w:rsidR="00F20376" w:rsidRPr="005F2246">
        <w:rPr>
          <w:b/>
          <w:bCs/>
        </w:rPr>
        <w:t>30%–40%</w:t>
      </w:r>
      <w:r w:rsidR="00F20376" w:rsidRPr="005F2246">
        <w:t xml:space="preserve"> (P≈0.80), and that the combination yields stagflation—sub-1% growth with </w:t>
      </w:r>
      <w:r w:rsidR="00F20376" w:rsidRPr="005F2246">
        <w:rPr>
          <w:b/>
          <w:bCs/>
        </w:rPr>
        <w:t>3%+</w:t>
      </w:r>
      <w:r w:rsidR="00F20376" w:rsidRPr="005F2246">
        <w:t xml:space="preserve"> inflation (P≈0.70). Hard limits are monetary (policy cannot both contain supply-driven inflation and support growth), geopolitical (advanced semiconductor concentration creates unhedgeable tail risk), and political (gridlock blocks counter-cyclical fiscal action). The primary outcome is a mild GDP contraction (</w:t>
      </w:r>
      <w:r w:rsidR="00F20376" w:rsidRPr="005F2246">
        <w:rPr>
          <w:b/>
          <w:bCs/>
        </w:rPr>
        <w:t>-0.2% to -0.6%</w:t>
      </w:r>
      <w:r w:rsidR="00F20376" w:rsidRPr="005F2246">
        <w:t xml:space="preserve">), unemployment peaking around </w:t>
      </w:r>
      <w:r w:rsidR="00F20376" w:rsidRPr="005F2246">
        <w:rPr>
          <w:b/>
          <w:bCs/>
        </w:rPr>
        <w:t>5.2%–5.5%</w:t>
      </w:r>
      <w:r w:rsidR="00F20376" w:rsidRPr="005F2246">
        <w:t xml:space="preserve">, inflation averaging </w:t>
      </w:r>
      <w:r w:rsidR="00F20376" w:rsidRPr="005F2246">
        <w:rPr>
          <w:b/>
          <w:bCs/>
        </w:rPr>
        <w:t>~2.9%–3.2%</w:t>
      </w:r>
      <w:r w:rsidR="00F20376" w:rsidRPr="005F2246">
        <w:t xml:space="preserve">, and an effective pause in AI investment for </w:t>
      </w:r>
      <w:r w:rsidR="00F20376" w:rsidRPr="005F2246">
        <w:rPr>
          <w:b/>
          <w:bCs/>
        </w:rPr>
        <w:t>12–18 months</w:t>
      </w:r>
      <w:r w:rsidR="00F20376" w:rsidRPr="005F2246">
        <w:t>, likely forcing a 2027 policy realignment.</w:t>
      </w:r>
    </w:p>
    <w:p w14:paraId="03536429" w14:textId="333AB29C" w:rsidR="000B5371" w:rsidRDefault="00000000" w:rsidP="00CE10D6">
      <w:r>
        <w:lastRenderedPageBreak/>
        <w:t>The following table presents all 21 scenarios ranked by normalized probability, with fit scores and projected returns for the portfolio under each scenario.</w:t>
      </w:r>
    </w:p>
    <w:tbl>
      <w:tblPr>
        <w:tblW w:w="0" w:type="auto"/>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ook w:val="04A0" w:firstRow="1" w:lastRow="0" w:firstColumn="1" w:lastColumn="0" w:noHBand="0" w:noVBand="1"/>
      </w:tblPr>
      <w:tblGrid>
        <w:gridCol w:w="1344"/>
        <w:gridCol w:w="1706"/>
        <w:gridCol w:w="1439"/>
        <w:gridCol w:w="1379"/>
        <w:gridCol w:w="1377"/>
        <w:gridCol w:w="1385"/>
      </w:tblGrid>
      <w:tr w:rsidR="000B5371" w14:paraId="0F0170BF" w14:textId="77777777" w:rsidTr="00E53AED">
        <w:trPr>
          <w:tblHeader/>
        </w:trPr>
        <w:tc>
          <w:tcPr>
            <w:tcW w:w="1344" w:type="dxa"/>
            <w:shd w:val="clear" w:color="auto" w:fill="2E5C8A"/>
          </w:tcPr>
          <w:p w14:paraId="31361B5D" w14:textId="77777777" w:rsidR="000B5371" w:rsidRDefault="00000000">
            <w:pPr>
              <w:jc w:val="center"/>
            </w:pPr>
            <w:r>
              <w:rPr>
                <w:b/>
                <w:color w:val="FFFFFF"/>
                <w:sz w:val="20"/>
              </w:rPr>
              <w:t>ID</w:t>
            </w:r>
          </w:p>
        </w:tc>
        <w:tc>
          <w:tcPr>
            <w:tcW w:w="1706" w:type="dxa"/>
            <w:shd w:val="clear" w:color="auto" w:fill="2E5C8A"/>
          </w:tcPr>
          <w:p w14:paraId="03C4878C" w14:textId="77777777" w:rsidR="000B5371" w:rsidRDefault="00000000">
            <w:pPr>
              <w:jc w:val="center"/>
            </w:pPr>
            <w:r>
              <w:rPr>
                <w:b/>
                <w:color w:val="FFFFFF"/>
                <w:sz w:val="20"/>
              </w:rPr>
              <w:t>Scenario</w:t>
            </w:r>
          </w:p>
        </w:tc>
        <w:tc>
          <w:tcPr>
            <w:tcW w:w="1439" w:type="dxa"/>
            <w:shd w:val="clear" w:color="auto" w:fill="2E5C8A"/>
          </w:tcPr>
          <w:p w14:paraId="2590B84A" w14:textId="77777777" w:rsidR="000B5371" w:rsidRDefault="00000000">
            <w:pPr>
              <w:jc w:val="center"/>
            </w:pPr>
            <w:r>
              <w:rPr>
                <w:b/>
                <w:color w:val="FFFFFF"/>
                <w:sz w:val="20"/>
              </w:rPr>
              <w:t>Primary Constraint</w:t>
            </w:r>
          </w:p>
        </w:tc>
        <w:tc>
          <w:tcPr>
            <w:tcW w:w="1379" w:type="dxa"/>
            <w:shd w:val="clear" w:color="auto" w:fill="2E5C8A"/>
          </w:tcPr>
          <w:p w14:paraId="3BFAABBA" w14:textId="77777777" w:rsidR="000B5371" w:rsidRDefault="00000000">
            <w:pPr>
              <w:jc w:val="center"/>
            </w:pPr>
            <w:r>
              <w:rPr>
                <w:b/>
                <w:color w:val="FFFFFF"/>
                <w:sz w:val="20"/>
              </w:rPr>
              <w:t>Norm. Prob</w:t>
            </w:r>
          </w:p>
        </w:tc>
        <w:tc>
          <w:tcPr>
            <w:tcW w:w="1377" w:type="dxa"/>
            <w:shd w:val="clear" w:color="auto" w:fill="2E5C8A"/>
          </w:tcPr>
          <w:p w14:paraId="1A9AC4EE" w14:textId="77777777" w:rsidR="000B5371" w:rsidRDefault="00000000">
            <w:pPr>
              <w:jc w:val="center"/>
            </w:pPr>
            <w:r>
              <w:rPr>
                <w:b/>
                <w:color w:val="FFFFFF"/>
                <w:sz w:val="20"/>
              </w:rPr>
              <w:t>Fit Score</w:t>
            </w:r>
          </w:p>
        </w:tc>
        <w:tc>
          <w:tcPr>
            <w:tcW w:w="1385" w:type="dxa"/>
            <w:shd w:val="clear" w:color="auto" w:fill="2E5C8A"/>
          </w:tcPr>
          <w:p w14:paraId="3E81A771" w14:textId="77777777" w:rsidR="000B5371" w:rsidRDefault="00000000">
            <w:pPr>
              <w:jc w:val="center"/>
            </w:pPr>
            <w:r>
              <w:rPr>
                <w:b/>
                <w:color w:val="FFFFFF"/>
                <w:sz w:val="20"/>
              </w:rPr>
              <w:t>Return</w:t>
            </w:r>
          </w:p>
        </w:tc>
      </w:tr>
      <w:tr w:rsidR="000B5371" w14:paraId="1B86163B" w14:textId="77777777" w:rsidTr="00E53AED">
        <w:tc>
          <w:tcPr>
            <w:tcW w:w="1344" w:type="dxa"/>
          </w:tcPr>
          <w:p w14:paraId="454F08EF" w14:textId="77777777" w:rsidR="000B5371" w:rsidRDefault="00000000">
            <w:pPr>
              <w:jc w:val="center"/>
            </w:pPr>
            <w:r>
              <w:rPr>
                <w:sz w:val="20"/>
              </w:rPr>
              <w:t>1</w:t>
            </w:r>
          </w:p>
        </w:tc>
        <w:tc>
          <w:tcPr>
            <w:tcW w:w="1706" w:type="dxa"/>
          </w:tcPr>
          <w:p w14:paraId="04167F7C" w14:textId="77777777" w:rsidR="000B5371" w:rsidRDefault="00000000">
            <w:r>
              <w:rPr>
                <w:sz w:val="20"/>
              </w:rPr>
              <w:t>Gridlock Base Case</w:t>
            </w:r>
          </w:p>
        </w:tc>
        <w:tc>
          <w:tcPr>
            <w:tcW w:w="1439" w:type="dxa"/>
          </w:tcPr>
          <w:p w14:paraId="6E257689" w14:textId="77777777" w:rsidR="000B5371" w:rsidRDefault="00000000">
            <w:r>
              <w:rPr>
                <w:sz w:val="20"/>
              </w:rPr>
              <w:t>Energy &amp; Grid</w:t>
            </w:r>
          </w:p>
        </w:tc>
        <w:tc>
          <w:tcPr>
            <w:tcW w:w="1379" w:type="dxa"/>
          </w:tcPr>
          <w:p w14:paraId="2E415258" w14:textId="77777777" w:rsidR="000B5371" w:rsidRDefault="00000000">
            <w:pPr>
              <w:jc w:val="center"/>
            </w:pPr>
            <w:r>
              <w:rPr>
                <w:sz w:val="20"/>
              </w:rPr>
              <w:t>11.9%</w:t>
            </w:r>
          </w:p>
        </w:tc>
        <w:tc>
          <w:tcPr>
            <w:tcW w:w="1377" w:type="dxa"/>
          </w:tcPr>
          <w:p w14:paraId="1B00B517" w14:textId="77777777" w:rsidR="000B5371" w:rsidRDefault="00000000">
            <w:pPr>
              <w:jc w:val="center"/>
            </w:pPr>
            <w:r>
              <w:rPr>
                <w:b/>
                <w:sz w:val="20"/>
              </w:rPr>
              <w:t>86</w:t>
            </w:r>
          </w:p>
        </w:tc>
        <w:tc>
          <w:tcPr>
            <w:tcW w:w="1385" w:type="dxa"/>
          </w:tcPr>
          <w:p w14:paraId="052FF2E6" w14:textId="77777777" w:rsidR="000B5371" w:rsidRDefault="00000000">
            <w:pPr>
              <w:jc w:val="center"/>
            </w:pPr>
            <w:r>
              <w:rPr>
                <w:b/>
                <w:sz w:val="20"/>
              </w:rPr>
              <w:t>+31%</w:t>
            </w:r>
          </w:p>
        </w:tc>
      </w:tr>
      <w:tr w:rsidR="00E53AED" w14:paraId="44AADB65" w14:textId="77777777" w:rsidTr="00E53AED">
        <w:tc>
          <w:tcPr>
            <w:tcW w:w="1344" w:type="dxa"/>
          </w:tcPr>
          <w:p w14:paraId="153FF5B7" w14:textId="77777777" w:rsidR="00E53AED" w:rsidRDefault="00E53AED" w:rsidP="0061169A">
            <w:pPr>
              <w:jc w:val="center"/>
            </w:pPr>
            <w:r>
              <w:rPr>
                <w:sz w:val="20"/>
              </w:rPr>
              <w:t>12</w:t>
            </w:r>
          </w:p>
        </w:tc>
        <w:tc>
          <w:tcPr>
            <w:tcW w:w="1706" w:type="dxa"/>
          </w:tcPr>
          <w:p w14:paraId="51C2187D" w14:textId="77777777" w:rsidR="00E53AED" w:rsidRDefault="00E53AED" w:rsidP="0061169A">
            <w:r>
              <w:rPr>
                <w:sz w:val="20"/>
              </w:rPr>
              <w:t>Constrained Growth</w:t>
            </w:r>
          </w:p>
        </w:tc>
        <w:tc>
          <w:tcPr>
            <w:tcW w:w="1439" w:type="dxa"/>
          </w:tcPr>
          <w:p w14:paraId="1E32574B" w14:textId="77777777" w:rsidR="00E53AED" w:rsidRDefault="00E53AED" w:rsidP="0061169A">
            <w:r>
              <w:rPr>
                <w:sz w:val="20"/>
              </w:rPr>
              <w:t>Infrastructure Gating</w:t>
            </w:r>
          </w:p>
        </w:tc>
        <w:tc>
          <w:tcPr>
            <w:tcW w:w="1379" w:type="dxa"/>
          </w:tcPr>
          <w:p w14:paraId="0C4B9098" w14:textId="77777777" w:rsidR="00E53AED" w:rsidRDefault="00E53AED" w:rsidP="0061169A">
            <w:pPr>
              <w:jc w:val="center"/>
            </w:pPr>
            <w:r>
              <w:rPr>
                <w:sz w:val="20"/>
              </w:rPr>
              <w:t>11.9%</w:t>
            </w:r>
          </w:p>
        </w:tc>
        <w:tc>
          <w:tcPr>
            <w:tcW w:w="1377" w:type="dxa"/>
          </w:tcPr>
          <w:p w14:paraId="49F6E179" w14:textId="77777777" w:rsidR="00E53AED" w:rsidRDefault="00E53AED" w:rsidP="0061169A">
            <w:pPr>
              <w:jc w:val="center"/>
            </w:pPr>
            <w:r>
              <w:rPr>
                <w:b/>
                <w:sz w:val="20"/>
              </w:rPr>
              <w:t>84</w:t>
            </w:r>
          </w:p>
        </w:tc>
        <w:tc>
          <w:tcPr>
            <w:tcW w:w="1385" w:type="dxa"/>
          </w:tcPr>
          <w:p w14:paraId="1F34B906" w14:textId="77777777" w:rsidR="00E53AED" w:rsidRDefault="00E53AED" w:rsidP="0061169A">
            <w:pPr>
              <w:jc w:val="center"/>
            </w:pPr>
            <w:r>
              <w:rPr>
                <w:b/>
                <w:sz w:val="20"/>
              </w:rPr>
              <w:t>+29%</w:t>
            </w:r>
          </w:p>
        </w:tc>
      </w:tr>
      <w:tr w:rsidR="000B5371" w14:paraId="6DEC5C14" w14:textId="77777777" w:rsidTr="00E53AED">
        <w:tc>
          <w:tcPr>
            <w:tcW w:w="1344" w:type="dxa"/>
          </w:tcPr>
          <w:p w14:paraId="020FA383" w14:textId="77777777" w:rsidR="000B5371" w:rsidRDefault="00000000">
            <w:pPr>
              <w:jc w:val="center"/>
            </w:pPr>
            <w:r>
              <w:rPr>
                <w:sz w:val="20"/>
              </w:rPr>
              <w:t>17</w:t>
            </w:r>
          </w:p>
        </w:tc>
        <w:tc>
          <w:tcPr>
            <w:tcW w:w="1706" w:type="dxa"/>
          </w:tcPr>
          <w:p w14:paraId="2D009668" w14:textId="77777777" w:rsidR="000B5371" w:rsidRDefault="00000000">
            <w:r>
              <w:rPr>
                <w:sz w:val="20"/>
              </w:rPr>
              <w:t>Constrained Acceleration</w:t>
            </w:r>
          </w:p>
        </w:tc>
        <w:tc>
          <w:tcPr>
            <w:tcW w:w="1439" w:type="dxa"/>
          </w:tcPr>
          <w:p w14:paraId="0A96E802" w14:textId="77777777" w:rsidR="000B5371" w:rsidRDefault="00000000">
            <w:r>
              <w:rPr>
                <w:sz w:val="20"/>
              </w:rPr>
              <w:t>Transformer Lead Times</w:t>
            </w:r>
          </w:p>
        </w:tc>
        <w:tc>
          <w:tcPr>
            <w:tcW w:w="1379" w:type="dxa"/>
          </w:tcPr>
          <w:p w14:paraId="5A4F3F22" w14:textId="77777777" w:rsidR="000B5371" w:rsidRDefault="00000000">
            <w:pPr>
              <w:jc w:val="center"/>
            </w:pPr>
            <w:r>
              <w:rPr>
                <w:sz w:val="20"/>
              </w:rPr>
              <w:t>9.1%</w:t>
            </w:r>
          </w:p>
        </w:tc>
        <w:tc>
          <w:tcPr>
            <w:tcW w:w="1377" w:type="dxa"/>
          </w:tcPr>
          <w:p w14:paraId="2D35F436" w14:textId="77777777" w:rsidR="000B5371" w:rsidRDefault="00000000">
            <w:pPr>
              <w:jc w:val="center"/>
            </w:pPr>
            <w:r>
              <w:rPr>
                <w:b/>
                <w:sz w:val="20"/>
              </w:rPr>
              <w:t>88</w:t>
            </w:r>
          </w:p>
        </w:tc>
        <w:tc>
          <w:tcPr>
            <w:tcW w:w="1385" w:type="dxa"/>
          </w:tcPr>
          <w:p w14:paraId="09E694EF" w14:textId="77777777" w:rsidR="000B5371" w:rsidRDefault="00000000">
            <w:pPr>
              <w:jc w:val="center"/>
            </w:pPr>
            <w:r>
              <w:rPr>
                <w:b/>
                <w:sz w:val="20"/>
              </w:rPr>
              <w:t>+32%</w:t>
            </w:r>
          </w:p>
        </w:tc>
      </w:tr>
      <w:tr w:rsidR="000B5371" w14:paraId="599C7391" w14:textId="77777777" w:rsidTr="00E53AED">
        <w:tc>
          <w:tcPr>
            <w:tcW w:w="1344" w:type="dxa"/>
          </w:tcPr>
          <w:p w14:paraId="02373AF2" w14:textId="77777777" w:rsidR="000B5371" w:rsidRDefault="00000000">
            <w:pPr>
              <w:jc w:val="center"/>
            </w:pPr>
            <w:r>
              <w:rPr>
                <w:sz w:val="20"/>
              </w:rPr>
              <w:t>2</w:t>
            </w:r>
          </w:p>
        </w:tc>
        <w:tc>
          <w:tcPr>
            <w:tcW w:w="1706" w:type="dxa"/>
          </w:tcPr>
          <w:p w14:paraId="1BDD03FF" w14:textId="77777777" w:rsidR="000B5371" w:rsidRDefault="00000000">
            <w:r>
              <w:rPr>
                <w:sz w:val="20"/>
              </w:rPr>
              <w:t>Multidimensional Polarization</w:t>
            </w:r>
          </w:p>
        </w:tc>
        <w:tc>
          <w:tcPr>
            <w:tcW w:w="1439" w:type="dxa"/>
          </w:tcPr>
          <w:p w14:paraId="08EF1C51" w14:textId="77777777" w:rsidR="000B5371" w:rsidRDefault="00000000">
            <w:r>
              <w:rPr>
                <w:sz w:val="20"/>
              </w:rPr>
              <w:t>Labor Displacement</w:t>
            </w:r>
          </w:p>
        </w:tc>
        <w:tc>
          <w:tcPr>
            <w:tcW w:w="1379" w:type="dxa"/>
          </w:tcPr>
          <w:p w14:paraId="581E0F43" w14:textId="77777777" w:rsidR="000B5371" w:rsidRDefault="00000000">
            <w:pPr>
              <w:jc w:val="center"/>
            </w:pPr>
            <w:r>
              <w:rPr>
                <w:sz w:val="20"/>
              </w:rPr>
              <w:t>8.6%</w:t>
            </w:r>
          </w:p>
        </w:tc>
        <w:tc>
          <w:tcPr>
            <w:tcW w:w="1377" w:type="dxa"/>
          </w:tcPr>
          <w:p w14:paraId="143C7441" w14:textId="77777777" w:rsidR="000B5371" w:rsidRDefault="00000000">
            <w:pPr>
              <w:jc w:val="center"/>
            </w:pPr>
            <w:r>
              <w:rPr>
                <w:sz w:val="20"/>
              </w:rPr>
              <w:t>62</w:t>
            </w:r>
          </w:p>
        </w:tc>
        <w:tc>
          <w:tcPr>
            <w:tcW w:w="1385" w:type="dxa"/>
          </w:tcPr>
          <w:p w14:paraId="6E449F34" w14:textId="77777777" w:rsidR="000B5371" w:rsidRDefault="00000000">
            <w:pPr>
              <w:jc w:val="center"/>
            </w:pPr>
            <w:r>
              <w:rPr>
                <w:sz w:val="20"/>
              </w:rPr>
              <w:t>+10%</w:t>
            </w:r>
          </w:p>
        </w:tc>
      </w:tr>
      <w:tr w:rsidR="000B5371" w14:paraId="1A7B570D" w14:textId="77777777" w:rsidTr="00E53AED">
        <w:tc>
          <w:tcPr>
            <w:tcW w:w="1344" w:type="dxa"/>
          </w:tcPr>
          <w:p w14:paraId="620A6E3F" w14:textId="77777777" w:rsidR="000B5371" w:rsidRDefault="00000000">
            <w:pPr>
              <w:jc w:val="center"/>
            </w:pPr>
            <w:r>
              <w:rPr>
                <w:sz w:val="20"/>
              </w:rPr>
              <w:t>7</w:t>
            </w:r>
          </w:p>
        </w:tc>
        <w:tc>
          <w:tcPr>
            <w:tcW w:w="1706" w:type="dxa"/>
          </w:tcPr>
          <w:p w14:paraId="4534484B" w14:textId="77777777" w:rsidR="000B5371" w:rsidRDefault="00000000">
            <w:r>
              <w:rPr>
                <w:sz w:val="20"/>
              </w:rPr>
              <w:t>Constrained Expansion</w:t>
            </w:r>
          </w:p>
        </w:tc>
        <w:tc>
          <w:tcPr>
            <w:tcW w:w="1439" w:type="dxa"/>
          </w:tcPr>
          <w:p w14:paraId="01C6442F" w14:textId="77777777" w:rsidR="000B5371" w:rsidRDefault="00000000">
            <w:r>
              <w:rPr>
                <w:sz w:val="20"/>
              </w:rPr>
              <w:t>Grid + Inflation</w:t>
            </w:r>
          </w:p>
        </w:tc>
        <w:tc>
          <w:tcPr>
            <w:tcW w:w="1379" w:type="dxa"/>
          </w:tcPr>
          <w:p w14:paraId="2E3277DF" w14:textId="77777777" w:rsidR="000B5371" w:rsidRDefault="00000000">
            <w:pPr>
              <w:jc w:val="center"/>
            </w:pPr>
            <w:r>
              <w:rPr>
                <w:sz w:val="20"/>
              </w:rPr>
              <w:t>8.2%</w:t>
            </w:r>
          </w:p>
        </w:tc>
        <w:tc>
          <w:tcPr>
            <w:tcW w:w="1377" w:type="dxa"/>
          </w:tcPr>
          <w:p w14:paraId="612D73B7" w14:textId="77777777" w:rsidR="000B5371" w:rsidRDefault="00000000">
            <w:pPr>
              <w:jc w:val="center"/>
            </w:pPr>
            <w:r>
              <w:rPr>
                <w:b/>
                <w:sz w:val="20"/>
              </w:rPr>
              <w:t>82</w:t>
            </w:r>
          </w:p>
        </w:tc>
        <w:tc>
          <w:tcPr>
            <w:tcW w:w="1385" w:type="dxa"/>
          </w:tcPr>
          <w:p w14:paraId="27BD0BD3" w14:textId="77777777" w:rsidR="000B5371" w:rsidRDefault="00000000">
            <w:pPr>
              <w:jc w:val="center"/>
            </w:pPr>
            <w:r>
              <w:rPr>
                <w:b/>
                <w:sz w:val="20"/>
              </w:rPr>
              <w:t>+28%</w:t>
            </w:r>
          </w:p>
        </w:tc>
      </w:tr>
      <w:tr w:rsidR="000B5371" w14:paraId="176D610A" w14:textId="77777777" w:rsidTr="00E53AED">
        <w:tc>
          <w:tcPr>
            <w:tcW w:w="1344" w:type="dxa"/>
          </w:tcPr>
          <w:p w14:paraId="08C74672" w14:textId="77777777" w:rsidR="000B5371" w:rsidRDefault="00000000">
            <w:pPr>
              <w:jc w:val="center"/>
            </w:pPr>
            <w:r>
              <w:rPr>
                <w:sz w:val="20"/>
              </w:rPr>
              <w:t>8</w:t>
            </w:r>
          </w:p>
        </w:tc>
        <w:tc>
          <w:tcPr>
            <w:tcW w:w="1706" w:type="dxa"/>
          </w:tcPr>
          <w:p w14:paraId="5FE64A25" w14:textId="77777777" w:rsidR="000B5371" w:rsidRDefault="00000000">
            <w:r>
              <w:rPr>
                <w:sz w:val="20"/>
              </w:rPr>
              <w:t>Infrastructure-First Bottleneck</w:t>
            </w:r>
          </w:p>
        </w:tc>
        <w:tc>
          <w:tcPr>
            <w:tcW w:w="1439" w:type="dxa"/>
          </w:tcPr>
          <w:p w14:paraId="20B75944" w14:textId="77777777" w:rsidR="000B5371" w:rsidRDefault="00000000">
            <w:r>
              <w:rPr>
                <w:sz w:val="20"/>
              </w:rPr>
              <w:t>Power Delivery</w:t>
            </w:r>
          </w:p>
        </w:tc>
        <w:tc>
          <w:tcPr>
            <w:tcW w:w="1379" w:type="dxa"/>
          </w:tcPr>
          <w:p w14:paraId="34E847CA" w14:textId="77777777" w:rsidR="000B5371" w:rsidRDefault="00000000">
            <w:pPr>
              <w:jc w:val="center"/>
            </w:pPr>
            <w:r>
              <w:rPr>
                <w:sz w:val="20"/>
              </w:rPr>
              <w:t>5.2%</w:t>
            </w:r>
          </w:p>
        </w:tc>
        <w:tc>
          <w:tcPr>
            <w:tcW w:w="1377" w:type="dxa"/>
          </w:tcPr>
          <w:p w14:paraId="4E16F22A" w14:textId="77777777" w:rsidR="000B5371" w:rsidRDefault="00000000">
            <w:pPr>
              <w:jc w:val="center"/>
            </w:pPr>
            <w:r>
              <w:rPr>
                <w:sz w:val="20"/>
              </w:rPr>
              <w:t>78</w:t>
            </w:r>
          </w:p>
        </w:tc>
        <w:tc>
          <w:tcPr>
            <w:tcW w:w="1385" w:type="dxa"/>
          </w:tcPr>
          <w:p w14:paraId="615510AB" w14:textId="77777777" w:rsidR="000B5371" w:rsidRDefault="00000000">
            <w:pPr>
              <w:jc w:val="center"/>
            </w:pPr>
            <w:r>
              <w:rPr>
                <w:sz w:val="20"/>
              </w:rPr>
              <w:t>+24%</w:t>
            </w:r>
          </w:p>
        </w:tc>
      </w:tr>
      <w:tr w:rsidR="000B5371" w14:paraId="2F9634E7" w14:textId="77777777" w:rsidTr="00C34F75">
        <w:tc>
          <w:tcPr>
            <w:tcW w:w="1344" w:type="dxa"/>
          </w:tcPr>
          <w:p w14:paraId="5A308C35" w14:textId="77777777" w:rsidR="000B5371" w:rsidRDefault="00000000">
            <w:pPr>
              <w:jc w:val="center"/>
            </w:pPr>
            <w:r>
              <w:rPr>
                <w:sz w:val="20"/>
              </w:rPr>
              <w:t>18</w:t>
            </w:r>
          </w:p>
        </w:tc>
        <w:tc>
          <w:tcPr>
            <w:tcW w:w="1706" w:type="dxa"/>
          </w:tcPr>
          <w:p w14:paraId="137FA359" w14:textId="77777777" w:rsidR="000B5371" w:rsidRDefault="00000000">
            <w:r>
              <w:rPr>
                <w:sz w:val="20"/>
              </w:rPr>
              <w:t>Orchestration Boom</w:t>
            </w:r>
          </w:p>
        </w:tc>
        <w:tc>
          <w:tcPr>
            <w:tcW w:w="1439" w:type="dxa"/>
          </w:tcPr>
          <w:p w14:paraId="22AA5BDC" w14:textId="77777777" w:rsidR="000B5371" w:rsidRDefault="00000000">
            <w:r>
              <w:rPr>
                <w:sz w:val="20"/>
              </w:rPr>
              <w:t>Displacement Threshold</w:t>
            </w:r>
          </w:p>
        </w:tc>
        <w:tc>
          <w:tcPr>
            <w:tcW w:w="1379" w:type="dxa"/>
          </w:tcPr>
          <w:p w14:paraId="7C92C82E" w14:textId="77777777" w:rsidR="000B5371" w:rsidRDefault="00000000">
            <w:pPr>
              <w:jc w:val="center"/>
            </w:pPr>
            <w:r>
              <w:rPr>
                <w:sz w:val="20"/>
              </w:rPr>
              <w:t>4.8%</w:t>
            </w:r>
          </w:p>
        </w:tc>
        <w:tc>
          <w:tcPr>
            <w:tcW w:w="1377" w:type="dxa"/>
            <w:shd w:val="clear" w:color="auto" w:fill="9BBB59" w:themeFill="accent3"/>
          </w:tcPr>
          <w:p w14:paraId="261694EF" w14:textId="77777777" w:rsidR="000B5371" w:rsidRDefault="00000000">
            <w:pPr>
              <w:jc w:val="center"/>
            </w:pPr>
            <w:r>
              <w:rPr>
                <w:b/>
                <w:sz w:val="20"/>
              </w:rPr>
              <w:t>94</w:t>
            </w:r>
          </w:p>
        </w:tc>
        <w:tc>
          <w:tcPr>
            <w:tcW w:w="1385" w:type="dxa"/>
            <w:shd w:val="clear" w:color="auto" w:fill="9BBB59" w:themeFill="accent3"/>
          </w:tcPr>
          <w:p w14:paraId="4B5C50D7" w14:textId="77777777" w:rsidR="000B5371" w:rsidRDefault="00000000">
            <w:pPr>
              <w:jc w:val="center"/>
            </w:pPr>
            <w:r>
              <w:rPr>
                <w:b/>
                <w:sz w:val="20"/>
              </w:rPr>
              <w:t>+40%</w:t>
            </w:r>
          </w:p>
        </w:tc>
      </w:tr>
      <w:tr w:rsidR="000B5371" w14:paraId="7F3889CD" w14:textId="77777777" w:rsidTr="00E53AED">
        <w:tc>
          <w:tcPr>
            <w:tcW w:w="1344" w:type="dxa"/>
          </w:tcPr>
          <w:p w14:paraId="307851DE" w14:textId="77777777" w:rsidR="000B5371" w:rsidRDefault="00000000">
            <w:pPr>
              <w:jc w:val="center"/>
            </w:pPr>
            <w:r>
              <w:rPr>
                <w:sz w:val="20"/>
              </w:rPr>
              <w:t>3</w:t>
            </w:r>
          </w:p>
        </w:tc>
        <w:tc>
          <w:tcPr>
            <w:tcW w:w="1706" w:type="dxa"/>
          </w:tcPr>
          <w:p w14:paraId="12E98439" w14:textId="77777777" w:rsidR="000B5371" w:rsidRDefault="00000000">
            <w:r>
              <w:rPr>
                <w:sz w:val="20"/>
              </w:rPr>
              <w:t>Productivity Surge</w:t>
            </w:r>
          </w:p>
        </w:tc>
        <w:tc>
          <w:tcPr>
            <w:tcW w:w="1439" w:type="dxa"/>
          </w:tcPr>
          <w:p w14:paraId="238238A1" w14:textId="77777777" w:rsidR="000B5371" w:rsidRDefault="00000000">
            <w:r>
              <w:rPr>
                <w:sz w:val="20"/>
              </w:rPr>
              <w:t>AI Agent Adoption</w:t>
            </w:r>
          </w:p>
        </w:tc>
        <w:tc>
          <w:tcPr>
            <w:tcW w:w="1379" w:type="dxa"/>
          </w:tcPr>
          <w:p w14:paraId="55C33B9F" w14:textId="77777777" w:rsidR="000B5371" w:rsidRDefault="00000000">
            <w:pPr>
              <w:jc w:val="center"/>
            </w:pPr>
            <w:r>
              <w:rPr>
                <w:sz w:val="20"/>
              </w:rPr>
              <w:t>4.3%</w:t>
            </w:r>
          </w:p>
        </w:tc>
        <w:tc>
          <w:tcPr>
            <w:tcW w:w="1377" w:type="dxa"/>
          </w:tcPr>
          <w:p w14:paraId="3DD33960" w14:textId="77777777" w:rsidR="000B5371" w:rsidRDefault="00000000">
            <w:pPr>
              <w:jc w:val="center"/>
            </w:pPr>
            <w:r>
              <w:rPr>
                <w:b/>
                <w:sz w:val="20"/>
              </w:rPr>
              <w:t>92</w:t>
            </w:r>
          </w:p>
        </w:tc>
        <w:tc>
          <w:tcPr>
            <w:tcW w:w="1385" w:type="dxa"/>
          </w:tcPr>
          <w:p w14:paraId="6B4CDFF4" w14:textId="77777777" w:rsidR="000B5371" w:rsidRDefault="00000000">
            <w:pPr>
              <w:jc w:val="center"/>
            </w:pPr>
            <w:r>
              <w:rPr>
                <w:b/>
                <w:sz w:val="20"/>
              </w:rPr>
              <w:t>+38%</w:t>
            </w:r>
          </w:p>
        </w:tc>
      </w:tr>
      <w:tr w:rsidR="000B5371" w14:paraId="3C7A757D" w14:textId="77777777" w:rsidTr="00E53AED">
        <w:tc>
          <w:tcPr>
            <w:tcW w:w="1344" w:type="dxa"/>
          </w:tcPr>
          <w:p w14:paraId="370B688C" w14:textId="77777777" w:rsidR="000B5371" w:rsidRDefault="00000000">
            <w:pPr>
              <w:jc w:val="center"/>
            </w:pPr>
            <w:r>
              <w:rPr>
                <w:sz w:val="20"/>
              </w:rPr>
              <w:t>9</w:t>
            </w:r>
          </w:p>
        </w:tc>
        <w:tc>
          <w:tcPr>
            <w:tcW w:w="1706" w:type="dxa"/>
          </w:tcPr>
          <w:p w14:paraId="4BB68C10" w14:textId="77777777" w:rsidR="000B5371" w:rsidRDefault="00000000">
            <w:r>
              <w:rPr>
                <w:sz w:val="20"/>
              </w:rPr>
              <w:t>AI Capex Reckoning (Soft)</w:t>
            </w:r>
          </w:p>
        </w:tc>
        <w:tc>
          <w:tcPr>
            <w:tcW w:w="1439" w:type="dxa"/>
          </w:tcPr>
          <w:p w14:paraId="35282D69" w14:textId="77777777" w:rsidR="000B5371" w:rsidRDefault="00000000">
            <w:r>
              <w:rPr>
                <w:sz w:val="20"/>
              </w:rPr>
              <w:t>ROI Discipline</w:t>
            </w:r>
          </w:p>
        </w:tc>
        <w:tc>
          <w:tcPr>
            <w:tcW w:w="1379" w:type="dxa"/>
          </w:tcPr>
          <w:p w14:paraId="6162E8B0" w14:textId="77777777" w:rsidR="000B5371" w:rsidRDefault="00000000">
            <w:pPr>
              <w:jc w:val="center"/>
            </w:pPr>
            <w:r>
              <w:rPr>
                <w:sz w:val="20"/>
              </w:rPr>
              <w:t>3.9%</w:t>
            </w:r>
          </w:p>
        </w:tc>
        <w:tc>
          <w:tcPr>
            <w:tcW w:w="1377" w:type="dxa"/>
          </w:tcPr>
          <w:p w14:paraId="2A859615" w14:textId="77777777" w:rsidR="000B5371" w:rsidRDefault="00000000">
            <w:pPr>
              <w:jc w:val="center"/>
            </w:pPr>
            <w:r>
              <w:rPr>
                <w:sz w:val="20"/>
              </w:rPr>
              <w:t>75</w:t>
            </w:r>
          </w:p>
        </w:tc>
        <w:tc>
          <w:tcPr>
            <w:tcW w:w="1385" w:type="dxa"/>
          </w:tcPr>
          <w:p w14:paraId="61DB7DEA" w14:textId="77777777" w:rsidR="000B5371" w:rsidRDefault="00000000">
            <w:pPr>
              <w:jc w:val="center"/>
            </w:pPr>
            <w:r>
              <w:rPr>
                <w:sz w:val="20"/>
              </w:rPr>
              <w:t>+22%</w:t>
            </w:r>
          </w:p>
        </w:tc>
      </w:tr>
      <w:tr w:rsidR="000B5371" w14:paraId="63D74FAE" w14:textId="77777777" w:rsidTr="00E53AED">
        <w:tc>
          <w:tcPr>
            <w:tcW w:w="1344" w:type="dxa"/>
          </w:tcPr>
          <w:p w14:paraId="40FA2370" w14:textId="77777777" w:rsidR="000B5371" w:rsidRDefault="00000000">
            <w:pPr>
              <w:jc w:val="center"/>
            </w:pPr>
            <w:r>
              <w:rPr>
                <w:sz w:val="20"/>
              </w:rPr>
              <w:t>19</w:t>
            </w:r>
          </w:p>
        </w:tc>
        <w:tc>
          <w:tcPr>
            <w:tcW w:w="1706" w:type="dxa"/>
          </w:tcPr>
          <w:p w14:paraId="572E5029" w14:textId="77777777" w:rsidR="000B5371" w:rsidRDefault="00000000">
            <w:r>
              <w:rPr>
                <w:sz w:val="20"/>
              </w:rPr>
              <w:t>Grid Crisis Catalyst</w:t>
            </w:r>
          </w:p>
        </w:tc>
        <w:tc>
          <w:tcPr>
            <w:tcW w:w="1439" w:type="dxa"/>
          </w:tcPr>
          <w:p w14:paraId="26C611E2" w14:textId="77777777" w:rsidR="000B5371" w:rsidRDefault="00000000">
            <w:r>
              <w:rPr>
                <w:sz w:val="20"/>
              </w:rPr>
              <w:t>Grid Capacity Ceiling</w:t>
            </w:r>
          </w:p>
        </w:tc>
        <w:tc>
          <w:tcPr>
            <w:tcW w:w="1379" w:type="dxa"/>
          </w:tcPr>
          <w:p w14:paraId="17A8CE8A" w14:textId="77777777" w:rsidR="000B5371" w:rsidRDefault="00000000">
            <w:pPr>
              <w:jc w:val="center"/>
            </w:pPr>
            <w:r>
              <w:rPr>
                <w:sz w:val="20"/>
              </w:rPr>
              <w:t>3.9%</w:t>
            </w:r>
          </w:p>
        </w:tc>
        <w:tc>
          <w:tcPr>
            <w:tcW w:w="1377" w:type="dxa"/>
          </w:tcPr>
          <w:p w14:paraId="420849E4" w14:textId="77777777" w:rsidR="000B5371" w:rsidRDefault="00000000">
            <w:pPr>
              <w:jc w:val="center"/>
            </w:pPr>
            <w:r>
              <w:rPr>
                <w:sz w:val="20"/>
              </w:rPr>
              <w:t>72</w:t>
            </w:r>
          </w:p>
        </w:tc>
        <w:tc>
          <w:tcPr>
            <w:tcW w:w="1385" w:type="dxa"/>
          </w:tcPr>
          <w:p w14:paraId="53078DCA" w14:textId="77777777" w:rsidR="000B5371" w:rsidRDefault="00000000">
            <w:pPr>
              <w:jc w:val="center"/>
            </w:pPr>
            <w:r>
              <w:rPr>
                <w:sz w:val="20"/>
              </w:rPr>
              <w:t>+15%</w:t>
            </w:r>
          </w:p>
        </w:tc>
      </w:tr>
      <w:tr w:rsidR="000B5371" w14:paraId="3D9F69BD" w14:textId="77777777" w:rsidTr="00E53AED">
        <w:tc>
          <w:tcPr>
            <w:tcW w:w="1344" w:type="dxa"/>
          </w:tcPr>
          <w:p w14:paraId="5618A31F" w14:textId="77777777" w:rsidR="000B5371" w:rsidRDefault="00000000">
            <w:pPr>
              <w:jc w:val="center"/>
            </w:pPr>
            <w:r>
              <w:rPr>
                <w:sz w:val="20"/>
              </w:rPr>
              <w:t>4</w:t>
            </w:r>
          </w:p>
        </w:tc>
        <w:tc>
          <w:tcPr>
            <w:tcW w:w="1706" w:type="dxa"/>
          </w:tcPr>
          <w:p w14:paraId="0A36BF19" w14:textId="77777777" w:rsidR="000B5371" w:rsidRDefault="00000000">
            <w:r>
              <w:rPr>
                <w:sz w:val="20"/>
              </w:rPr>
              <w:t>CapEx Reckoning</w:t>
            </w:r>
          </w:p>
        </w:tc>
        <w:tc>
          <w:tcPr>
            <w:tcW w:w="1439" w:type="dxa"/>
          </w:tcPr>
          <w:p w14:paraId="714DC598" w14:textId="77777777" w:rsidR="000B5371" w:rsidRDefault="00000000">
            <w:r>
              <w:rPr>
                <w:sz w:val="20"/>
              </w:rPr>
              <w:t>Market Valuation</w:t>
            </w:r>
          </w:p>
        </w:tc>
        <w:tc>
          <w:tcPr>
            <w:tcW w:w="1379" w:type="dxa"/>
          </w:tcPr>
          <w:p w14:paraId="4FA25C2B" w14:textId="77777777" w:rsidR="000B5371" w:rsidRDefault="00000000">
            <w:pPr>
              <w:jc w:val="center"/>
            </w:pPr>
            <w:r>
              <w:rPr>
                <w:sz w:val="20"/>
              </w:rPr>
              <w:t>3.2%</w:t>
            </w:r>
          </w:p>
        </w:tc>
        <w:tc>
          <w:tcPr>
            <w:tcW w:w="1377" w:type="dxa"/>
          </w:tcPr>
          <w:p w14:paraId="22B6B284" w14:textId="77777777" w:rsidR="000B5371" w:rsidRDefault="00000000">
            <w:pPr>
              <w:jc w:val="center"/>
            </w:pPr>
            <w:r>
              <w:rPr>
                <w:sz w:val="20"/>
              </w:rPr>
              <w:t>70</w:t>
            </w:r>
          </w:p>
        </w:tc>
        <w:tc>
          <w:tcPr>
            <w:tcW w:w="1385" w:type="dxa"/>
          </w:tcPr>
          <w:p w14:paraId="55EB4413" w14:textId="77777777" w:rsidR="000B5371" w:rsidRDefault="00000000">
            <w:pPr>
              <w:jc w:val="center"/>
            </w:pPr>
            <w:r>
              <w:rPr>
                <w:sz w:val="20"/>
              </w:rPr>
              <w:t>+18%</w:t>
            </w:r>
          </w:p>
        </w:tc>
      </w:tr>
      <w:tr w:rsidR="000B5371" w14:paraId="202B41EB" w14:textId="77777777" w:rsidTr="00E53AED">
        <w:tc>
          <w:tcPr>
            <w:tcW w:w="1344" w:type="dxa"/>
          </w:tcPr>
          <w:p w14:paraId="27A85386" w14:textId="77777777" w:rsidR="000B5371" w:rsidRDefault="00000000">
            <w:pPr>
              <w:jc w:val="center"/>
            </w:pPr>
            <w:r>
              <w:rPr>
                <w:sz w:val="20"/>
              </w:rPr>
              <w:t>13</w:t>
            </w:r>
          </w:p>
        </w:tc>
        <w:tc>
          <w:tcPr>
            <w:tcW w:w="1706" w:type="dxa"/>
          </w:tcPr>
          <w:p w14:paraId="7F9909AD" w14:textId="77777777" w:rsidR="000B5371" w:rsidRDefault="00000000">
            <w:r>
              <w:rPr>
                <w:sz w:val="20"/>
              </w:rPr>
              <w:t>AI Breakthrough Acceleration</w:t>
            </w:r>
          </w:p>
        </w:tc>
        <w:tc>
          <w:tcPr>
            <w:tcW w:w="1439" w:type="dxa"/>
          </w:tcPr>
          <w:p w14:paraId="2D15356C" w14:textId="77777777" w:rsidR="000B5371" w:rsidRDefault="00000000">
            <w:r>
              <w:rPr>
                <w:sz w:val="20"/>
              </w:rPr>
              <w:t>Capital ROI</w:t>
            </w:r>
          </w:p>
        </w:tc>
        <w:tc>
          <w:tcPr>
            <w:tcW w:w="1379" w:type="dxa"/>
          </w:tcPr>
          <w:p w14:paraId="21AF4894" w14:textId="77777777" w:rsidR="000B5371" w:rsidRDefault="00000000">
            <w:pPr>
              <w:jc w:val="center"/>
            </w:pPr>
            <w:r>
              <w:rPr>
                <w:sz w:val="20"/>
              </w:rPr>
              <w:t>3.2%</w:t>
            </w:r>
          </w:p>
        </w:tc>
        <w:tc>
          <w:tcPr>
            <w:tcW w:w="1377" w:type="dxa"/>
          </w:tcPr>
          <w:p w14:paraId="5C800F29" w14:textId="77777777" w:rsidR="000B5371" w:rsidRDefault="00000000">
            <w:pPr>
              <w:jc w:val="center"/>
            </w:pPr>
            <w:r>
              <w:rPr>
                <w:b/>
                <w:sz w:val="20"/>
              </w:rPr>
              <w:t>90</w:t>
            </w:r>
          </w:p>
        </w:tc>
        <w:tc>
          <w:tcPr>
            <w:tcW w:w="1385" w:type="dxa"/>
          </w:tcPr>
          <w:p w14:paraId="37D276FB" w14:textId="77777777" w:rsidR="000B5371" w:rsidRDefault="00000000">
            <w:pPr>
              <w:jc w:val="center"/>
            </w:pPr>
            <w:r>
              <w:rPr>
                <w:b/>
                <w:sz w:val="20"/>
              </w:rPr>
              <w:t>+36%</w:t>
            </w:r>
          </w:p>
        </w:tc>
      </w:tr>
      <w:tr w:rsidR="000B5371" w14:paraId="1120A161" w14:textId="77777777" w:rsidTr="00E53AED">
        <w:tc>
          <w:tcPr>
            <w:tcW w:w="1344" w:type="dxa"/>
          </w:tcPr>
          <w:p w14:paraId="368C99D5" w14:textId="77777777" w:rsidR="000B5371" w:rsidRDefault="00000000">
            <w:pPr>
              <w:jc w:val="center"/>
            </w:pPr>
            <w:r>
              <w:rPr>
                <w:sz w:val="20"/>
              </w:rPr>
              <w:t>10</w:t>
            </w:r>
          </w:p>
        </w:tc>
        <w:tc>
          <w:tcPr>
            <w:tcW w:w="1706" w:type="dxa"/>
          </w:tcPr>
          <w:p w14:paraId="4AF64277" w14:textId="77777777" w:rsidR="000B5371" w:rsidRDefault="00000000">
            <w:r>
              <w:rPr>
                <w:sz w:val="20"/>
              </w:rPr>
              <w:t>Labor-Lag Drag</w:t>
            </w:r>
          </w:p>
        </w:tc>
        <w:tc>
          <w:tcPr>
            <w:tcW w:w="1439" w:type="dxa"/>
          </w:tcPr>
          <w:p w14:paraId="6460B103" w14:textId="77777777" w:rsidR="000B5371" w:rsidRDefault="00000000">
            <w:r>
              <w:rPr>
                <w:sz w:val="20"/>
              </w:rPr>
              <w:t>Consumption Elasticity</w:t>
            </w:r>
          </w:p>
        </w:tc>
        <w:tc>
          <w:tcPr>
            <w:tcW w:w="1379" w:type="dxa"/>
          </w:tcPr>
          <w:p w14:paraId="6C739B80" w14:textId="77777777" w:rsidR="000B5371" w:rsidRDefault="00000000">
            <w:pPr>
              <w:jc w:val="center"/>
            </w:pPr>
            <w:r>
              <w:rPr>
                <w:sz w:val="20"/>
              </w:rPr>
              <w:t>2.6%</w:t>
            </w:r>
          </w:p>
        </w:tc>
        <w:tc>
          <w:tcPr>
            <w:tcW w:w="1377" w:type="dxa"/>
          </w:tcPr>
          <w:p w14:paraId="2A216E6B" w14:textId="77777777" w:rsidR="000B5371" w:rsidRDefault="00000000">
            <w:pPr>
              <w:jc w:val="center"/>
            </w:pPr>
            <w:r>
              <w:rPr>
                <w:sz w:val="20"/>
              </w:rPr>
              <w:t>65</w:t>
            </w:r>
          </w:p>
        </w:tc>
        <w:tc>
          <w:tcPr>
            <w:tcW w:w="1385" w:type="dxa"/>
          </w:tcPr>
          <w:p w14:paraId="5F95CE85" w14:textId="77777777" w:rsidR="000B5371" w:rsidRDefault="00000000">
            <w:pPr>
              <w:jc w:val="center"/>
            </w:pPr>
            <w:r>
              <w:rPr>
                <w:sz w:val="20"/>
              </w:rPr>
              <w:t>+14%</w:t>
            </w:r>
          </w:p>
        </w:tc>
      </w:tr>
      <w:tr w:rsidR="000B5371" w14:paraId="6A106A53" w14:textId="77777777" w:rsidTr="00E53AED">
        <w:tc>
          <w:tcPr>
            <w:tcW w:w="1344" w:type="dxa"/>
          </w:tcPr>
          <w:p w14:paraId="2BDBD0A5" w14:textId="77777777" w:rsidR="000B5371" w:rsidRDefault="00000000">
            <w:pPr>
              <w:jc w:val="center"/>
            </w:pPr>
            <w:r>
              <w:rPr>
                <w:sz w:val="20"/>
              </w:rPr>
              <w:t>14</w:t>
            </w:r>
          </w:p>
        </w:tc>
        <w:tc>
          <w:tcPr>
            <w:tcW w:w="1706" w:type="dxa"/>
          </w:tcPr>
          <w:p w14:paraId="2AE00B95" w14:textId="77777777" w:rsidR="000B5371" w:rsidRDefault="00000000">
            <w:r>
              <w:rPr>
                <w:sz w:val="20"/>
              </w:rPr>
              <w:t>Policy Pivot Boom</w:t>
            </w:r>
          </w:p>
        </w:tc>
        <w:tc>
          <w:tcPr>
            <w:tcW w:w="1439" w:type="dxa"/>
          </w:tcPr>
          <w:p w14:paraId="70290B19" w14:textId="77777777" w:rsidR="000B5371" w:rsidRDefault="00000000">
            <w:r>
              <w:rPr>
                <w:sz w:val="20"/>
              </w:rPr>
              <w:t>Regional Energy Delays</w:t>
            </w:r>
          </w:p>
        </w:tc>
        <w:tc>
          <w:tcPr>
            <w:tcW w:w="1379" w:type="dxa"/>
          </w:tcPr>
          <w:p w14:paraId="719BB238" w14:textId="77777777" w:rsidR="000B5371" w:rsidRDefault="00000000">
            <w:pPr>
              <w:jc w:val="center"/>
            </w:pPr>
            <w:r>
              <w:rPr>
                <w:sz w:val="20"/>
              </w:rPr>
              <w:t>2.6%</w:t>
            </w:r>
          </w:p>
        </w:tc>
        <w:tc>
          <w:tcPr>
            <w:tcW w:w="1377" w:type="dxa"/>
          </w:tcPr>
          <w:p w14:paraId="7D10FD02" w14:textId="77777777" w:rsidR="000B5371" w:rsidRDefault="00000000">
            <w:pPr>
              <w:jc w:val="center"/>
            </w:pPr>
            <w:r>
              <w:rPr>
                <w:b/>
                <w:sz w:val="20"/>
              </w:rPr>
              <w:t>80</w:t>
            </w:r>
          </w:p>
        </w:tc>
        <w:tc>
          <w:tcPr>
            <w:tcW w:w="1385" w:type="dxa"/>
          </w:tcPr>
          <w:p w14:paraId="0FC740DF" w14:textId="77777777" w:rsidR="000B5371" w:rsidRDefault="00000000">
            <w:pPr>
              <w:jc w:val="center"/>
            </w:pPr>
            <w:r>
              <w:rPr>
                <w:b/>
                <w:sz w:val="20"/>
              </w:rPr>
              <w:t>+30%</w:t>
            </w:r>
          </w:p>
        </w:tc>
      </w:tr>
      <w:tr w:rsidR="000B5371" w14:paraId="1FE3A467" w14:textId="77777777" w:rsidTr="00E53AED">
        <w:tc>
          <w:tcPr>
            <w:tcW w:w="1344" w:type="dxa"/>
          </w:tcPr>
          <w:p w14:paraId="12CBDEA7" w14:textId="77777777" w:rsidR="000B5371" w:rsidRDefault="00000000">
            <w:pPr>
              <w:jc w:val="center"/>
            </w:pPr>
            <w:r>
              <w:rPr>
                <w:sz w:val="20"/>
              </w:rPr>
              <w:t>20</w:t>
            </w:r>
          </w:p>
        </w:tc>
        <w:tc>
          <w:tcPr>
            <w:tcW w:w="1706" w:type="dxa"/>
          </w:tcPr>
          <w:p w14:paraId="322960BF" w14:textId="77777777" w:rsidR="000B5371" w:rsidRDefault="00000000">
            <w:r>
              <w:rPr>
                <w:sz w:val="20"/>
              </w:rPr>
              <w:t>Capital Retrenchment</w:t>
            </w:r>
          </w:p>
        </w:tc>
        <w:tc>
          <w:tcPr>
            <w:tcW w:w="1439" w:type="dxa"/>
          </w:tcPr>
          <w:p w14:paraId="78713C13" w14:textId="77777777" w:rsidR="000B5371" w:rsidRDefault="00000000">
            <w:r>
              <w:rPr>
                <w:sz w:val="20"/>
              </w:rPr>
              <w:t>Financial ROI Limits</w:t>
            </w:r>
          </w:p>
        </w:tc>
        <w:tc>
          <w:tcPr>
            <w:tcW w:w="1379" w:type="dxa"/>
          </w:tcPr>
          <w:p w14:paraId="2B1AAA0D" w14:textId="77777777" w:rsidR="000B5371" w:rsidRDefault="00000000">
            <w:pPr>
              <w:jc w:val="center"/>
            </w:pPr>
            <w:r>
              <w:rPr>
                <w:sz w:val="20"/>
              </w:rPr>
              <w:t>2.6%</w:t>
            </w:r>
          </w:p>
        </w:tc>
        <w:tc>
          <w:tcPr>
            <w:tcW w:w="1377" w:type="dxa"/>
          </w:tcPr>
          <w:p w14:paraId="38FA8605" w14:textId="77777777" w:rsidR="000B5371" w:rsidRDefault="00000000">
            <w:pPr>
              <w:jc w:val="center"/>
            </w:pPr>
            <w:r>
              <w:rPr>
                <w:sz w:val="20"/>
              </w:rPr>
              <w:t>68</w:t>
            </w:r>
          </w:p>
        </w:tc>
        <w:tc>
          <w:tcPr>
            <w:tcW w:w="1385" w:type="dxa"/>
          </w:tcPr>
          <w:p w14:paraId="7DF44AB9" w14:textId="77777777" w:rsidR="000B5371" w:rsidRDefault="00000000">
            <w:pPr>
              <w:jc w:val="center"/>
            </w:pPr>
            <w:r>
              <w:rPr>
                <w:sz w:val="20"/>
              </w:rPr>
              <w:t>+8%</w:t>
            </w:r>
          </w:p>
        </w:tc>
      </w:tr>
      <w:tr w:rsidR="000B5371" w14:paraId="647F22F2" w14:textId="77777777" w:rsidTr="00E53AED">
        <w:tc>
          <w:tcPr>
            <w:tcW w:w="1344" w:type="dxa"/>
          </w:tcPr>
          <w:p w14:paraId="7B26CD5E" w14:textId="77777777" w:rsidR="000B5371" w:rsidRDefault="00000000">
            <w:pPr>
              <w:jc w:val="center"/>
            </w:pPr>
            <w:r>
              <w:rPr>
                <w:sz w:val="20"/>
              </w:rPr>
              <w:lastRenderedPageBreak/>
              <w:t>15</w:t>
            </w:r>
          </w:p>
        </w:tc>
        <w:tc>
          <w:tcPr>
            <w:tcW w:w="1706" w:type="dxa"/>
          </w:tcPr>
          <w:p w14:paraId="1AA19A11" w14:textId="77777777" w:rsidR="000B5371" w:rsidRDefault="00000000">
            <w:r>
              <w:rPr>
                <w:sz w:val="20"/>
              </w:rPr>
              <w:t>Infrastructure Crisis</w:t>
            </w:r>
          </w:p>
        </w:tc>
        <w:tc>
          <w:tcPr>
            <w:tcW w:w="1439" w:type="dxa"/>
          </w:tcPr>
          <w:p w14:paraId="44A04EE0" w14:textId="77777777" w:rsidR="000B5371" w:rsidRDefault="00000000">
            <w:r>
              <w:rPr>
                <w:sz w:val="20"/>
              </w:rPr>
              <w:t>Grid Brownouts</w:t>
            </w:r>
          </w:p>
        </w:tc>
        <w:tc>
          <w:tcPr>
            <w:tcW w:w="1379" w:type="dxa"/>
          </w:tcPr>
          <w:p w14:paraId="54FEB2E7" w14:textId="77777777" w:rsidR="000B5371" w:rsidRDefault="00000000">
            <w:pPr>
              <w:jc w:val="center"/>
            </w:pPr>
            <w:r>
              <w:rPr>
                <w:sz w:val="20"/>
              </w:rPr>
              <w:t>2.2%</w:t>
            </w:r>
          </w:p>
        </w:tc>
        <w:tc>
          <w:tcPr>
            <w:tcW w:w="1377" w:type="dxa"/>
          </w:tcPr>
          <w:p w14:paraId="4A22255A" w14:textId="77777777" w:rsidR="000B5371" w:rsidRDefault="00000000">
            <w:pPr>
              <w:jc w:val="center"/>
            </w:pPr>
            <w:r>
              <w:rPr>
                <w:sz w:val="20"/>
              </w:rPr>
              <w:t>68</w:t>
            </w:r>
          </w:p>
        </w:tc>
        <w:tc>
          <w:tcPr>
            <w:tcW w:w="1385" w:type="dxa"/>
          </w:tcPr>
          <w:p w14:paraId="1AFFDAF1" w14:textId="77777777" w:rsidR="000B5371" w:rsidRDefault="00000000">
            <w:pPr>
              <w:jc w:val="center"/>
            </w:pPr>
            <w:r>
              <w:rPr>
                <w:sz w:val="20"/>
              </w:rPr>
              <w:t>+12%</w:t>
            </w:r>
          </w:p>
        </w:tc>
      </w:tr>
      <w:tr w:rsidR="000B5371" w14:paraId="5B812E97" w14:textId="77777777" w:rsidTr="00C34F75">
        <w:tc>
          <w:tcPr>
            <w:tcW w:w="1344" w:type="dxa"/>
          </w:tcPr>
          <w:p w14:paraId="7C6C7E1E" w14:textId="77777777" w:rsidR="000B5371" w:rsidRDefault="00000000">
            <w:pPr>
              <w:jc w:val="center"/>
            </w:pPr>
            <w:r>
              <w:rPr>
                <w:sz w:val="20"/>
              </w:rPr>
              <w:t>5</w:t>
            </w:r>
          </w:p>
        </w:tc>
        <w:tc>
          <w:tcPr>
            <w:tcW w:w="1706" w:type="dxa"/>
          </w:tcPr>
          <w:p w14:paraId="692F4DCA" w14:textId="77777777" w:rsidR="000B5371" w:rsidRDefault="00000000">
            <w:r>
              <w:rPr>
                <w:sz w:val="20"/>
              </w:rPr>
              <w:t>Stagflationary Shock</w:t>
            </w:r>
          </w:p>
        </w:tc>
        <w:tc>
          <w:tcPr>
            <w:tcW w:w="1439" w:type="dxa"/>
          </w:tcPr>
          <w:p w14:paraId="56C83930" w14:textId="77777777" w:rsidR="000B5371" w:rsidRDefault="00000000">
            <w:r>
              <w:rPr>
                <w:sz w:val="20"/>
              </w:rPr>
              <w:t>Trade Policy &amp; Fed</w:t>
            </w:r>
          </w:p>
        </w:tc>
        <w:tc>
          <w:tcPr>
            <w:tcW w:w="1379" w:type="dxa"/>
          </w:tcPr>
          <w:p w14:paraId="5A46DB79" w14:textId="77777777" w:rsidR="000B5371" w:rsidRDefault="00000000">
            <w:pPr>
              <w:jc w:val="center"/>
            </w:pPr>
            <w:r>
              <w:rPr>
                <w:sz w:val="20"/>
              </w:rPr>
              <w:t>1.7%</w:t>
            </w:r>
          </w:p>
        </w:tc>
        <w:tc>
          <w:tcPr>
            <w:tcW w:w="1377" w:type="dxa"/>
            <w:shd w:val="clear" w:color="auto" w:fill="FF7474"/>
          </w:tcPr>
          <w:p w14:paraId="6B5EA684" w14:textId="77777777" w:rsidR="000B5371" w:rsidRDefault="00000000">
            <w:pPr>
              <w:jc w:val="center"/>
            </w:pPr>
            <w:r>
              <w:rPr>
                <w:sz w:val="20"/>
              </w:rPr>
              <w:t>48</w:t>
            </w:r>
          </w:p>
        </w:tc>
        <w:tc>
          <w:tcPr>
            <w:tcW w:w="1385" w:type="dxa"/>
            <w:shd w:val="clear" w:color="auto" w:fill="FF7474"/>
          </w:tcPr>
          <w:p w14:paraId="292715EF" w14:textId="77777777" w:rsidR="000B5371" w:rsidRDefault="00000000">
            <w:pPr>
              <w:jc w:val="center"/>
            </w:pPr>
            <w:r>
              <w:rPr>
                <w:sz w:val="20"/>
              </w:rPr>
              <w:t>-8%</w:t>
            </w:r>
          </w:p>
        </w:tc>
      </w:tr>
      <w:tr w:rsidR="000B5371" w14:paraId="7B692C13" w14:textId="77777777" w:rsidTr="00E53AED">
        <w:tc>
          <w:tcPr>
            <w:tcW w:w="1344" w:type="dxa"/>
          </w:tcPr>
          <w:p w14:paraId="05E53C9D" w14:textId="77777777" w:rsidR="000B5371" w:rsidRDefault="00000000">
            <w:pPr>
              <w:jc w:val="center"/>
            </w:pPr>
            <w:r>
              <w:rPr>
                <w:sz w:val="20"/>
              </w:rPr>
              <w:t>11</w:t>
            </w:r>
          </w:p>
        </w:tc>
        <w:tc>
          <w:tcPr>
            <w:tcW w:w="1706" w:type="dxa"/>
          </w:tcPr>
          <w:p w14:paraId="4652F9C6" w14:textId="77777777" w:rsidR="000B5371" w:rsidRDefault="00000000">
            <w:r>
              <w:rPr>
                <w:sz w:val="20"/>
              </w:rPr>
              <w:t>Constraint Cascade</w:t>
            </w:r>
          </w:p>
        </w:tc>
        <w:tc>
          <w:tcPr>
            <w:tcW w:w="1439" w:type="dxa"/>
          </w:tcPr>
          <w:p w14:paraId="7844F73E" w14:textId="77777777" w:rsidR="000B5371" w:rsidRDefault="00000000">
            <w:r>
              <w:rPr>
                <w:sz w:val="20"/>
              </w:rPr>
              <w:t>Multi-Constraint Binding</w:t>
            </w:r>
          </w:p>
        </w:tc>
        <w:tc>
          <w:tcPr>
            <w:tcW w:w="1379" w:type="dxa"/>
          </w:tcPr>
          <w:p w14:paraId="08CE0F52" w14:textId="77777777" w:rsidR="000B5371" w:rsidRDefault="00000000">
            <w:pPr>
              <w:jc w:val="center"/>
            </w:pPr>
            <w:r>
              <w:rPr>
                <w:sz w:val="20"/>
              </w:rPr>
              <w:t>1.7%</w:t>
            </w:r>
          </w:p>
        </w:tc>
        <w:tc>
          <w:tcPr>
            <w:tcW w:w="1377" w:type="dxa"/>
          </w:tcPr>
          <w:p w14:paraId="642E71C3" w14:textId="77777777" w:rsidR="000B5371" w:rsidRDefault="00000000">
            <w:pPr>
              <w:jc w:val="center"/>
            </w:pPr>
            <w:r>
              <w:rPr>
                <w:sz w:val="20"/>
              </w:rPr>
              <w:t>58</w:t>
            </w:r>
          </w:p>
        </w:tc>
        <w:tc>
          <w:tcPr>
            <w:tcW w:w="1385" w:type="dxa"/>
          </w:tcPr>
          <w:p w14:paraId="64CF2FC9" w14:textId="77777777" w:rsidR="000B5371" w:rsidRDefault="00000000">
            <w:pPr>
              <w:jc w:val="center"/>
            </w:pPr>
            <w:r>
              <w:rPr>
                <w:sz w:val="20"/>
              </w:rPr>
              <w:t>+2%</w:t>
            </w:r>
          </w:p>
        </w:tc>
      </w:tr>
      <w:tr w:rsidR="000B5371" w14:paraId="10D1E948" w14:textId="77777777" w:rsidTr="00C34F75">
        <w:tc>
          <w:tcPr>
            <w:tcW w:w="1344" w:type="dxa"/>
          </w:tcPr>
          <w:p w14:paraId="0CCCD0FD" w14:textId="77777777" w:rsidR="000B5371" w:rsidRDefault="00000000">
            <w:pPr>
              <w:jc w:val="center"/>
            </w:pPr>
            <w:r>
              <w:rPr>
                <w:sz w:val="20"/>
              </w:rPr>
              <w:t>16</w:t>
            </w:r>
          </w:p>
        </w:tc>
        <w:tc>
          <w:tcPr>
            <w:tcW w:w="1706" w:type="dxa"/>
          </w:tcPr>
          <w:p w14:paraId="287A2598" w14:textId="77777777" w:rsidR="000B5371" w:rsidRDefault="00000000">
            <w:r>
              <w:rPr>
                <w:sz w:val="20"/>
              </w:rPr>
              <w:t>Stagflation Trap</w:t>
            </w:r>
          </w:p>
        </w:tc>
        <w:tc>
          <w:tcPr>
            <w:tcW w:w="1439" w:type="dxa"/>
          </w:tcPr>
          <w:p w14:paraId="71010E15" w14:textId="77777777" w:rsidR="000B5371" w:rsidRDefault="00000000">
            <w:r>
              <w:rPr>
                <w:sz w:val="20"/>
              </w:rPr>
              <w:t>Persistent Inflation</w:t>
            </w:r>
          </w:p>
        </w:tc>
        <w:tc>
          <w:tcPr>
            <w:tcW w:w="1379" w:type="dxa"/>
          </w:tcPr>
          <w:p w14:paraId="508641FA" w14:textId="77777777" w:rsidR="000B5371" w:rsidRDefault="00000000">
            <w:pPr>
              <w:jc w:val="center"/>
            </w:pPr>
            <w:r>
              <w:rPr>
                <w:sz w:val="20"/>
              </w:rPr>
              <w:t>1.7%</w:t>
            </w:r>
          </w:p>
        </w:tc>
        <w:tc>
          <w:tcPr>
            <w:tcW w:w="1377" w:type="dxa"/>
            <w:shd w:val="clear" w:color="auto" w:fill="FF7474"/>
          </w:tcPr>
          <w:p w14:paraId="499DE185" w14:textId="77777777" w:rsidR="000B5371" w:rsidRDefault="00000000">
            <w:pPr>
              <w:jc w:val="center"/>
            </w:pPr>
            <w:r>
              <w:rPr>
                <w:sz w:val="20"/>
              </w:rPr>
              <w:t>45</w:t>
            </w:r>
          </w:p>
        </w:tc>
        <w:tc>
          <w:tcPr>
            <w:tcW w:w="1385" w:type="dxa"/>
            <w:shd w:val="clear" w:color="auto" w:fill="FF7474"/>
          </w:tcPr>
          <w:p w14:paraId="48E19304" w14:textId="77777777" w:rsidR="000B5371" w:rsidRDefault="00000000">
            <w:pPr>
              <w:jc w:val="center"/>
            </w:pPr>
            <w:r>
              <w:rPr>
                <w:sz w:val="20"/>
              </w:rPr>
              <w:t>-12%</w:t>
            </w:r>
          </w:p>
        </w:tc>
      </w:tr>
      <w:tr w:rsidR="000B5371" w14:paraId="4A43532E" w14:textId="77777777" w:rsidTr="00C34F75">
        <w:tc>
          <w:tcPr>
            <w:tcW w:w="1344" w:type="dxa"/>
          </w:tcPr>
          <w:p w14:paraId="5FEF270D" w14:textId="77777777" w:rsidR="000B5371" w:rsidRDefault="00000000">
            <w:pPr>
              <w:jc w:val="center"/>
            </w:pPr>
            <w:r>
              <w:rPr>
                <w:sz w:val="20"/>
              </w:rPr>
              <w:t>21</w:t>
            </w:r>
          </w:p>
        </w:tc>
        <w:tc>
          <w:tcPr>
            <w:tcW w:w="1706" w:type="dxa"/>
          </w:tcPr>
          <w:p w14:paraId="74BA0AE4" w14:textId="77777777" w:rsidR="000B5371" w:rsidRDefault="00000000">
            <w:r>
              <w:rPr>
                <w:sz w:val="20"/>
              </w:rPr>
              <w:t>Stagflationary Trap (Claude)</w:t>
            </w:r>
          </w:p>
        </w:tc>
        <w:tc>
          <w:tcPr>
            <w:tcW w:w="1439" w:type="dxa"/>
          </w:tcPr>
          <w:p w14:paraId="2040BF9F" w14:textId="77777777" w:rsidR="000B5371" w:rsidRDefault="00000000">
            <w:r>
              <w:rPr>
                <w:sz w:val="20"/>
              </w:rPr>
              <w:t>Monetary Impotence</w:t>
            </w:r>
          </w:p>
        </w:tc>
        <w:tc>
          <w:tcPr>
            <w:tcW w:w="1379" w:type="dxa"/>
          </w:tcPr>
          <w:p w14:paraId="6F03F4BA" w14:textId="77777777" w:rsidR="000B5371" w:rsidRDefault="00000000">
            <w:pPr>
              <w:jc w:val="center"/>
            </w:pPr>
            <w:r>
              <w:rPr>
                <w:sz w:val="20"/>
              </w:rPr>
              <w:t>1.3%</w:t>
            </w:r>
          </w:p>
        </w:tc>
        <w:tc>
          <w:tcPr>
            <w:tcW w:w="1377" w:type="dxa"/>
            <w:shd w:val="clear" w:color="auto" w:fill="FF7474"/>
          </w:tcPr>
          <w:p w14:paraId="05D065BB" w14:textId="77777777" w:rsidR="000B5371" w:rsidRDefault="00000000">
            <w:pPr>
              <w:jc w:val="center"/>
            </w:pPr>
            <w:r>
              <w:rPr>
                <w:sz w:val="20"/>
              </w:rPr>
              <w:t>42</w:t>
            </w:r>
          </w:p>
        </w:tc>
        <w:tc>
          <w:tcPr>
            <w:tcW w:w="1385" w:type="dxa"/>
            <w:shd w:val="clear" w:color="auto" w:fill="FF7474"/>
          </w:tcPr>
          <w:p w14:paraId="26DB6877" w14:textId="77777777" w:rsidR="000B5371" w:rsidRDefault="00000000">
            <w:pPr>
              <w:jc w:val="center"/>
            </w:pPr>
            <w:r>
              <w:rPr>
                <w:sz w:val="20"/>
              </w:rPr>
              <w:t>-15%</w:t>
            </w:r>
          </w:p>
        </w:tc>
      </w:tr>
      <w:tr w:rsidR="000B5371" w14:paraId="3BE2F1B7" w14:textId="77777777" w:rsidTr="00E53AED">
        <w:tc>
          <w:tcPr>
            <w:tcW w:w="1344" w:type="dxa"/>
          </w:tcPr>
          <w:p w14:paraId="13DADD29" w14:textId="77777777" w:rsidR="000B5371" w:rsidRDefault="00000000">
            <w:pPr>
              <w:jc w:val="center"/>
            </w:pPr>
            <w:r>
              <w:rPr>
                <w:sz w:val="20"/>
              </w:rPr>
              <w:t>6</w:t>
            </w:r>
          </w:p>
        </w:tc>
        <w:tc>
          <w:tcPr>
            <w:tcW w:w="1706" w:type="dxa"/>
          </w:tcPr>
          <w:p w14:paraId="4E633261" w14:textId="77777777" w:rsidR="000B5371" w:rsidRDefault="00000000">
            <w:r>
              <w:rPr>
                <w:sz w:val="20"/>
              </w:rPr>
              <w:t>Vertical Takeoff</w:t>
            </w:r>
          </w:p>
        </w:tc>
        <w:tc>
          <w:tcPr>
            <w:tcW w:w="1439" w:type="dxa"/>
          </w:tcPr>
          <w:p w14:paraId="4E908DD3" w14:textId="77777777" w:rsidR="000B5371" w:rsidRDefault="00000000">
            <w:r>
              <w:rPr>
                <w:sz w:val="20"/>
              </w:rPr>
              <w:t>Physical Laws</w:t>
            </w:r>
          </w:p>
        </w:tc>
        <w:tc>
          <w:tcPr>
            <w:tcW w:w="1379" w:type="dxa"/>
          </w:tcPr>
          <w:p w14:paraId="1A9DC8A6" w14:textId="77777777" w:rsidR="000B5371" w:rsidRDefault="00000000">
            <w:pPr>
              <w:jc w:val="center"/>
            </w:pPr>
            <w:r>
              <w:rPr>
                <w:sz w:val="20"/>
              </w:rPr>
              <w:t>0.4%</w:t>
            </w:r>
          </w:p>
        </w:tc>
        <w:tc>
          <w:tcPr>
            <w:tcW w:w="1377" w:type="dxa"/>
          </w:tcPr>
          <w:p w14:paraId="3227387C" w14:textId="77777777" w:rsidR="000B5371" w:rsidRDefault="00000000">
            <w:pPr>
              <w:jc w:val="center"/>
            </w:pPr>
            <w:r>
              <w:rPr>
                <w:sz w:val="20"/>
              </w:rPr>
              <w:t>55</w:t>
            </w:r>
          </w:p>
        </w:tc>
        <w:tc>
          <w:tcPr>
            <w:tcW w:w="1385" w:type="dxa"/>
          </w:tcPr>
          <w:p w14:paraId="25AEBF05" w14:textId="77777777" w:rsidR="000B5371" w:rsidRDefault="00000000">
            <w:pPr>
              <w:jc w:val="center"/>
            </w:pPr>
            <w:r>
              <w:rPr>
                <w:sz w:val="20"/>
              </w:rPr>
              <w:t>+8%</w:t>
            </w:r>
          </w:p>
        </w:tc>
      </w:tr>
    </w:tbl>
    <w:p w14:paraId="0C5FDD97" w14:textId="77777777" w:rsidR="000B5371" w:rsidRDefault="00000000">
      <w:pPr>
        <w:spacing w:before="240"/>
      </w:pPr>
      <w:r>
        <w:rPr>
          <w:b/>
          <w:i/>
          <w:sz w:val="20"/>
        </w:rPr>
        <w:t xml:space="preserve">Note: </w:t>
      </w:r>
      <w:r>
        <w:rPr>
          <w:i/>
          <w:sz w:val="20"/>
        </w:rPr>
        <w:t>Green shading indicates highest fit/return scenario. Red shading indicates negative return scenarios. Bold scores indicate above-average performance (&gt;80 fit or &gt;25% return).</w:t>
      </w:r>
    </w:p>
    <w:p w14:paraId="3EB7F67E" w14:textId="504EEB95" w:rsidR="00D215A9" w:rsidRPr="00D215A9" w:rsidRDefault="00D215A9" w:rsidP="00CE10D6">
      <w:r w:rsidRPr="00A80669">
        <w:t xml:space="preserve">Thie following figure shows a one-year probability fan chart built from the thesis scenario set using normalized scenario probabilities. The shaded bands represent the central 50% (25–75), 80% (10–90), and 90% (5–95) probability ranges, widening over time to reflect increasing uncertainty. Scenario titles are overlaid and ranked from highest upside to lowest downside, with upside scenarios positioned above the zero line and downside scenarios below. The median path sits slightly below zero because </w:t>
      </w:r>
      <w:proofErr w:type="gramStart"/>
      <w:r w:rsidRPr="00A80669">
        <w:t>a majority of</w:t>
      </w:r>
      <w:proofErr w:type="gramEnd"/>
      <w:r w:rsidRPr="00A80669">
        <w:t xml:space="preserve"> total scenario probability weight is assigned to downside-tilted outcomes.</w:t>
      </w:r>
    </w:p>
    <w:p w14:paraId="327807DB" w14:textId="77777777" w:rsidR="00D215A9" w:rsidRDefault="00D215A9" w:rsidP="00D215A9">
      <w:pPr>
        <w:rPr>
          <w:sz w:val="18"/>
          <w:szCs w:val="18"/>
        </w:rPr>
      </w:pPr>
      <w:r>
        <w:rPr>
          <w:noProof/>
          <w:sz w:val="18"/>
          <w:szCs w:val="18"/>
          <w14:ligatures w14:val="standardContextual"/>
        </w:rPr>
        <w:lastRenderedPageBreak/>
        <w:drawing>
          <wp:inline distT="0" distB="0" distL="0" distR="0" wp14:anchorId="1149239D" wp14:editId="3DE8006C">
            <wp:extent cx="5979503" cy="3488042"/>
            <wp:effectExtent l="0" t="0" r="2540" b="5080"/>
            <wp:docPr id="380388228" name="Picture 1" descr="A chart of a fan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388228" name="Picture 1" descr="A chart of a fan char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39457" cy="3581349"/>
                    </a:xfrm>
                    <a:prstGeom prst="rect">
                      <a:avLst/>
                    </a:prstGeom>
                  </pic:spPr>
                </pic:pic>
              </a:graphicData>
            </a:graphic>
          </wp:inline>
        </w:drawing>
      </w:r>
    </w:p>
    <w:p w14:paraId="41D22C5C" w14:textId="77777777" w:rsidR="00D215A9" w:rsidRDefault="00D215A9" w:rsidP="00CE10D6"/>
    <w:p w14:paraId="36FC8A0F" w14:textId="77777777" w:rsidR="00D215A9" w:rsidRPr="002269DB" w:rsidRDefault="00D215A9" w:rsidP="00CE10D6">
      <w:pPr>
        <w:rPr>
          <w:sz w:val="20"/>
          <w:szCs w:val="20"/>
        </w:rPr>
      </w:pPr>
      <w:r w:rsidRPr="002269DB">
        <w:rPr>
          <w:sz w:val="20"/>
          <w:szCs w:val="20"/>
        </w:rPr>
        <w:t xml:space="preserve">Scenarios 5, 6, and 14 appear outside the 5–95% fan because the fan bands are percentile bands of the probability-weighted outcome distribution, not an envelope that must contain every named scenario. </w:t>
      </w:r>
      <w:proofErr w:type="gramStart"/>
      <w:r w:rsidRPr="002269DB">
        <w:rPr>
          <w:sz w:val="20"/>
          <w:szCs w:val="20"/>
        </w:rPr>
        <w:t>By definition, the</w:t>
      </w:r>
      <w:proofErr w:type="gramEnd"/>
      <w:r w:rsidRPr="002269DB">
        <w:rPr>
          <w:sz w:val="20"/>
          <w:szCs w:val="20"/>
        </w:rPr>
        <w:t xml:space="preserve"> 5–95% band covers the central 90% of cumulative probability mass; scenarios that sit in the extreme tails (i.e., collectively part of the lowest ~5% or highest ~5% probability-weighted outcomes) can plot outside those bands. In other words, these scenarios represent tail-risk / tail-upside stress cases rather than “typical” outcomes, so their outcome positions can fall beyond the central confidence region even though they remain valid members of the scenario set.</w:t>
      </w:r>
    </w:p>
    <w:p w14:paraId="54C490BE" w14:textId="77777777" w:rsidR="000B5371" w:rsidRDefault="00000000">
      <w:r>
        <w:br w:type="page"/>
      </w:r>
    </w:p>
    <w:p w14:paraId="13F1AD48" w14:textId="77777777" w:rsidR="000B5371" w:rsidRDefault="00000000">
      <w:pPr>
        <w:pStyle w:val="Heading1"/>
      </w:pPr>
      <w:r>
        <w:lastRenderedPageBreak/>
        <w:t>WEIGHTED ANALYSIS RESULTS</w:t>
      </w:r>
    </w:p>
    <w:p w14:paraId="399157FB" w14:textId="77777777" w:rsidR="000B5371" w:rsidRDefault="00000000">
      <w:pPr>
        <w:pStyle w:val="Heading2"/>
      </w:pPr>
      <w:r>
        <w:t>Probability-Weighted Metrics</w:t>
      </w:r>
    </w:p>
    <w:tbl>
      <w:tblPr>
        <w:tblW w:w="0" w:type="auto"/>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ook w:val="04A0" w:firstRow="1" w:lastRow="0" w:firstColumn="1" w:lastColumn="0" w:noHBand="0" w:noVBand="1"/>
      </w:tblPr>
      <w:tblGrid>
        <w:gridCol w:w="4315"/>
        <w:gridCol w:w="4315"/>
      </w:tblGrid>
      <w:tr w:rsidR="000B5371" w14:paraId="3C96206A" w14:textId="77777777">
        <w:tc>
          <w:tcPr>
            <w:tcW w:w="4320" w:type="dxa"/>
            <w:shd w:val="clear" w:color="auto" w:fill="2E5C8A"/>
          </w:tcPr>
          <w:p w14:paraId="17E91433" w14:textId="77777777" w:rsidR="000B5371" w:rsidRDefault="00000000">
            <w:pPr>
              <w:jc w:val="center"/>
            </w:pPr>
            <w:r>
              <w:rPr>
                <w:b/>
                <w:color w:val="FFFFFF"/>
                <w:sz w:val="20"/>
              </w:rPr>
              <w:t>Metric</w:t>
            </w:r>
          </w:p>
        </w:tc>
        <w:tc>
          <w:tcPr>
            <w:tcW w:w="4320" w:type="dxa"/>
            <w:shd w:val="clear" w:color="auto" w:fill="2E5C8A"/>
          </w:tcPr>
          <w:p w14:paraId="63B89E19" w14:textId="77777777" w:rsidR="000B5371" w:rsidRDefault="00000000">
            <w:pPr>
              <w:jc w:val="center"/>
            </w:pPr>
            <w:r>
              <w:rPr>
                <w:b/>
                <w:color w:val="FFFFFF"/>
                <w:sz w:val="20"/>
              </w:rPr>
              <w:t>Value</w:t>
            </w:r>
          </w:p>
        </w:tc>
      </w:tr>
      <w:tr w:rsidR="000B5371" w14:paraId="2307A0D9" w14:textId="77777777">
        <w:tc>
          <w:tcPr>
            <w:tcW w:w="4320" w:type="dxa"/>
          </w:tcPr>
          <w:p w14:paraId="66665B98" w14:textId="77777777" w:rsidR="000B5371" w:rsidRDefault="00000000">
            <w:r>
              <w:rPr>
                <w:sz w:val="20"/>
              </w:rPr>
              <w:t>Weighted Average Fit Score</w:t>
            </w:r>
          </w:p>
        </w:tc>
        <w:tc>
          <w:tcPr>
            <w:tcW w:w="4320" w:type="dxa"/>
            <w:shd w:val="clear" w:color="auto" w:fill="E3F2FD"/>
          </w:tcPr>
          <w:p w14:paraId="7FD4D54B" w14:textId="77777777" w:rsidR="000B5371" w:rsidRDefault="00000000">
            <w:pPr>
              <w:jc w:val="center"/>
            </w:pPr>
            <w:r>
              <w:rPr>
                <w:b/>
                <w:sz w:val="20"/>
              </w:rPr>
              <w:t>74.2 / 100</w:t>
            </w:r>
          </w:p>
        </w:tc>
      </w:tr>
      <w:tr w:rsidR="000B5371" w14:paraId="4DB69C3A" w14:textId="77777777">
        <w:tc>
          <w:tcPr>
            <w:tcW w:w="4320" w:type="dxa"/>
          </w:tcPr>
          <w:p w14:paraId="76B26F62" w14:textId="77777777" w:rsidR="000B5371" w:rsidRDefault="00000000">
            <w:r>
              <w:rPr>
                <w:sz w:val="20"/>
              </w:rPr>
              <w:t>Weighted Average Projected Return</w:t>
            </w:r>
          </w:p>
        </w:tc>
        <w:tc>
          <w:tcPr>
            <w:tcW w:w="4320" w:type="dxa"/>
            <w:shd w:val="clear" w:color="auto" w:fill="E3F2FD"/>
          </w:tcPr>
          <w:p w14:paraId="3667F88A" w14:textId="77777777" w:rsidR="000B5371" w:rsidRDefault="00000000">
            <w:pPr>
              <w:jc w:val="center"/>
            </w:pPr>
            <w:r>
              <w:rPr>
                <w:b/>
                <w:sz w:val="20"/>
              </w:rPr>
              <w:t>+26.8%</w:t>
            </w:r>
          </w:p>
        </w:tc>
      </w:tr>
    </w:tbl>
    <w:p w14:paraId="71942B98" w14:textId="77777777" w:rsidR="000B5371" w:rsidRDefault="00000000">
      <w:pPr>
        <w:pStyle w:val="Heading3"/>
      </w:pPr>
      <w:r>
        <w:t>Calculation Methodology:</w:t>
      </w:r>
    </w:p>
    <w:p w14:paraId="5C594DD8" w14:textId="77777777" w:rsidR="000B5371" w:rsidRDefault="00000000">
      <w:r>
        <w:rPr>
          <w:i/>
        </w:rPr>
        <w:t>Weighted Average Fit Score = Σ(Normalized Probability × Fit Score)</w:t>
      </w:r>
    </w:p>
    <w:p w14:paraId="690C3966" w14:textId="77777777" w:rsidR="000B5371" w:rsidRDefault="00000000">
      <w:r>
        <w:rPr>
          <w:i/>
        </w:rPr>
        <w:t>Weighted Average Return = Σ(Normalized Probability × Projected Return)</w:t>
      </w:r>
    </w:p>
    <w:p w14:paraId="1502E768" w14:textId="77777777" w:rsidR="000B5371" w:rsidRDefault="00000000">
      <w:pPr>
        <w:pStyle w:val="Heading2"/>
      </w:pPr>
      <w:r>
        <w:t>Distribution Statistics</w:t>
      </w:r>
    </w:p>
    <w:tbl>
      <w:tblPr>
        <w:tblW w:w="0" w:type="auto"/>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ook w:val="04A0" w:firstRow="1" w:lastRow="0" w:firstColumn="1" w:lastColumn="0" w:noHBand="0" w:noVBand="1"/>
      </w:tblPr>
      <w:tblGrid>
        <w:gridCol w:w="1727"/>
        <w:gridCol w:w="1726"/>
        <w:gridCol w:w="1726"/>
        <w:gridCol w:w="1726"/>
        <w:gridCol w:w="1725"/>
      </w:tblGrid>
      <w:tr w:rsidR="000B5371" w14:paraId="34448D95" w14:textId="77777777">
        <w:tc>
          <w:tcPr>
            <w:tcW w:w="1728" w:type="dxa"/>
            <w:shd w:val="clear" w:color="auto" w:fill="2E5C8A"/>
          </w:tcPr>
          <w:p w14:paraId="2B744318" w14:textId="77777777" w:rsidR="000B5371" w:rsidRDefault="00000000">
            <w:pPr>
              <w:jc w:val="center"/>
            </w:pPr>
            <w:r>
              <w:rPr>
                <w:b/>
                <w:color w:val="FFFFFF"/>
                <w:sz w:val="20"/>
              </w:rPr>
              <w:t>Statistic</w:t>
            </w:r>
          </w:p>
        </w:tc>
        <w:tc>
          <w:tcPr>
            <w:tcW w:w="1728" w:type="dxa"/>
            <w:shd w:val="clear" w:color="auto" w:fill="2E5C8A"/>
          </w:tcPr>
          <w:p w14:paraId="263EC00B" w14:textId="77777777" w:rsidR="000B5371" w:rsidRDefault="00000000">
            <w:pPr>
              <w:jc w:val="center"/>
            </w:pPr>
            <w:r>
              <w:rPr>
                <w:b/>
                <w:color w:val="FFFFFF"/>
                <w:sz w:val="20"/>
              </w:rPr>
              <w:t>Minimum</w:t>
            </w:r>
          </w:p>
        </w:tc>
        <w:tc>
          <w:tcPr>
            <w:tcW w:w="1728" w:type="dxa"/>
            <w:shd w:val="clear" w:color="auto" w:fill="2E5C8A"/>
          </w:tcPr>
          <w:p w14:paraId="505A350B" w14:textId="77777777" w:rsidR="000B5371" w:rsidRDefault="00000000">
            <w:pPr>
              <w:jc w:val="center"/>
            </w:pPr>
            <w:r>
              <w:rPr>
                <w:b/>
                <w:color w:val="FFFFFF"/>
                <w:sz w:val="20"/>
              </w:rPr>
              <w:t>Median</w:t>
            </w:r>
          </w:p>
        </w:tc>
        <w:tc>
          <w:tcPr>
            <w:tcW w:w="1728" w:type="dxa"/>
            <w:shd w:val="clear" w:color="auto" w:fill="2E5C8A"/>
          </w:tcPr>
          <w:p w14:paraId="2FB1D90A" w14:textId="77777777" w:rsidR="000B5371" w:rsidRDefault="00000000">
            <w:pPr>
              <w:jc w:val="center"/>
            </w:pPr>
            <w:r>
              <w:rPr>
                <w:b/>
                <w:color w:val="FFFFFF"/>
                <w:sz w:val="20"/>
              </w:rPr>
              <w:t>Maximum</w:t>
            </w:r>
          </w:p>
        </w:tc>
        <w:tc>
          <w:tcPr>
            <w:tcW w:w="1728" w:type="dxa"/>
            <w:shd w:val="clear" w:color="auto" w:fill="2E5C8A"/>
          </w:tcPr>
          <w:p w14:paraId="54E019A4" w14:textId="77777777" w:rsidR="000B5371" w:rsidRDefault="00000000">
            <w:pPr>
              <w:jc w:val="center"/>
            </w:pPr>
            <w:r>
              <w:rPr>
                <w:b/>
                <w:color w:val="FFFFFF"/>
                <w:sz w:val="20"/>
              </w:rPr>
              <w:t>Range</w:t>
            </w:r>
          </w:p>
        </w:tc>
      </w:tr>
      <w:tr w:rsidR="000B5371" w14:paraId="19258BB6" w14:textId="77777777">
        <w:tc>
          <w:tcPr>
            <w:tcW w:w="1728" w:type="dxa"/>
          </w:tcPr>
          <w:p w14:paraId="44F86146" w14:textId="587213ED" w:rsidR="000B5371" w:rsidRDefault="00000000">
            <w:r>
              <w:rPr>
                <w:b/>
                <w:sz w:val="20"/>
              </w:rPr>
              <w:t xml:space="preserve">Fit Score </w:t>
            </w:r>
            <w:r w:rsidR="00817887">
              <w:rPr>
                <w:b/>
                <w:sz w:val="20"/>
              </w:rPr>
              <w:br/>
            </w:r>
            <w:r>
              <w:rPr>
                <w:b/>
                <w:sz w:val="20"/>
              </w:rPr>
              <w:t>(0-100)</w:t>
            </w:r>
          </w:p>
        </w:tc>
        <w:tc>
          <w:tcPr>
            <w:tcW w:w="1728" w:type="dxa"/>
          </w:tcPr>
          <w:p w14:paraId="07B89399" w14:textId="77777777" w:rsidR="000B5371" w:rsidRDefault="00000000">
            <w:pPr>
              <w:jc w:val="center"/>
            </w:pPr>
            <w:r>
              <w:rPr>
                <w:sz w:val="20"/>
              </w:rPr>
              <w:t>42</w:t>
            </w:r>
          </w:p>
        </w:tc>
        <w:tc>
          <w:tcPr>
            <w:tcW w:w="1728" w:type="dxa"/>
          </w:tcPr>
          <w:p w14:paraId="4F030DE7" w14:textId="77777777" w:rsidR="000B5371" w:rsidRDefault="00000000">
            <w:pPr>
              <w:jc w:val="center"/>
            </w:pPr>
            <w:r>
              <w:rPr>
                <w:b/>
                <w:sz w:val="20"/>
              </w:rPr>
              <w:t>75</w:t>
            </w:r>
          </w:p>
        </w:tc>
        <w:tc>
          <w:tcPr>
            <w:tcW w:w="1728" w:type="dxa"/>
          </w:tcPr>
          <w:p w14:paraId="43392F09" w14:textId="77777777" w:rsidR="000B5371" w:rsidRDefault="00000000">
            <w:pPr>
              <w:jc w:val="center"/>
            </w:pPr>
            <w:r>
              <w:rPr>
                <w:sz w:val="20"/>
              </w:rPr>
              <w:t>94</w:t>
            </w:r>
          </w:p>
        </w:tc>
        <w:tc>
          <w:tcPr>
            <w:tcW w:w="1728" w:type="dxa"/>
          </w:tcPr>
          <w:p w14:paraId="03CE3720" w14:textId="77777777" w:rsidR="000B5371" w:rsidRDefault="00000000">
            <w:pPr>
              <w:jc w:val="center"/>
            </w:pPr>
            <w:r>
              <w:rPr>
                <w:sz w:val="20"/>
              </w:rPr>
              <w:t>52 pts</w:t>
            </w:r>
          </w:p>
        </w:tc>
      </w:tr>
      <w:tr w:rsidR="000B5371" w14:paraId="373F7915" w14:textId="77777777">
        <w:tc>
          <w:tcPr>
            <w:tcW w:w="1728" w:type="dxa"/>
          </w:tcPr>
          <w:p w14:paraId="506D8ABA" w14:textId="77777777" w:rsidR="000B5371" w:rsidRDefault="00000000">
            <w:r>
              <w:rPr>
                <w:b/>
                <w:sz w:val="20"/>
              </w:rPr>
              <w:t>Projected Return (%)</w:t>
            </w:r>
          </w:p>
        </w:tc>
        <w:tc>
          <w:tcPr>
            <w:tcW w:w="1728" w:type="dxa"/>
          </w:tcPr>
          <w:p w14:paraId="156FD199" w14:textId="77777777" w:rsidR="000B5371" w:rsidRDefault="00000000">
            <w:pPr>
              <w:jc w:val="center"/>
            </w:pPr>
            <w:r>
              <w:rPr>
                <w:sz w:val="20"/>
              </w:rPr>
              <w:t>-15%</w:t>
            </w:r>
          </w:p>
        </w:tc>
        <w:tc>
          <w:tcPr>
            <w:tcW w:w="1728" w:type="dxa"/>
          </w:tcPr>
          <w:p w14:paraId="7DC88DC1" w14:textId="77777777" w:rsidR="000B5371" w:rsidRDefault="00000000">
            <w:pPr>
              <w:jc w:val="center"/>
            </w:pPr>
            <w:r>
              <w:rPr>
                <w:b/>
                <w:sz w:val="20"/>
              </w:rPr>
              <w:t>+22%</w:t>
            </w:r>
          </w:p>
        </w:tc>
        <w:tc>
          <w:tcPr>
            <w:tcW w:w="1728" w:type="dxa"/>
          </w:tcPr>
          <w:p w14:paraId="11F327A4" w14:textId="77777777" w:rsidR="000B5371" w:rsidRDefault="00000000">
            <w:pPr>
              <w:jc w:val="center"/>
            </w:pPr>
            <w:r>
              <w:rPr>
                <w:sz w:val="20"/>
              </w:rPr>
              <w:t>+40%</w:t>
            </w:r>
          </w:p>
        </w:tc>
        <w:tc>
          <w:tcPr>
            <w:tcW w:w="1728" w:type="dxa"/>
          </w:tcPr>
          <w:p w14:paraId="38448217" w14:textId="77777777" w:rsidR="000B5371" w:rsidRDefault="00000000">
            <w:pPr>
              <w:jc w:val="center"/>
            </w:pPr>
            <w:r>
              <w:rPr>
                <w:sz w:val="20"/>
              </w:rPr>
              <w:t>55 pts</w:t>
            </w:r>
          </w:p>
        </w:tc>
      </w:tr>
    </w:tbl>
    <w:p w14:paraId="1914F478" w14:textId="77777777" w:rsidR="000B5371" w:rsidRDefault="00000000">
      <w:pPr>
        <w:spacing w:before="360"/>
      </w:pPr>
      <w:r>
        <w:rPr>
          <w:b/>
        </w:rPr>
        <w:t xml:space="preserve">Key Insight: </w:t>
      </w:r>
      <w:r>
        <w:t>Portfolio generates positive returns in 19 of 21 scenarios, representing 94.2% of normalized probability mass. The median return of +22% combined with weighted average of +26.8% indicates positive skew—upside scenarios carry higher probability weight.</w:t>
      </w:r>
    </w:p>
    <w:p w14:paraId="3D4D1718" w14:textId="77777777" w:rsidR="000B5371" w:rsidRDefault="00000000">
      <w:pPr>
        <w:pStyle w:val="Heading1"/>
      </w:pPr>
      <w:r>
        <w:t>SCENARIO CLUSTERING ANALYSIS</w:t>
      </w:r>
    </w:p>
    <w:p w14:paraId="517BC1F1" w14:textId="77777777" w:rsidR="000B5371" w:rsidRDefault="00000000">
      <w:r>
        <w:t>Scenarios can be grouped into five primary clusters based on dominant constraint and outcome characteristics. This clustering reveals portfolio positioning relative to the most probable economic pathways.</w:t>
      </w:r>
    </w:p>
    <w:p w14:paraId="5EB333ED" w14:textId="77777777" w:rsidR="009F3FBC" w:rsidRDefault="009F3FBC">
      <w:pPr>
        <w:rPr>
          <w:rFonts w:asciiTheme="majorHAnsi" w:eastAsiaTheme="majorEastAsia" w:hAnsiTheme="majorHAnsi" w:cstheme="majorBidi"/>
          <w:b/>
          <w:bCs/>
          <w:color w:val="2E5C8A"/>
          <w:sz w:val="28"/>
          <w:szCs w:val="26"/>
        </w:rPr>
      </w:pPr>
      <w:r>
        <w:br w:type="page"/>
      </w:r>
    </w:p>
    <w:p w14:paraId="13CC2CAB" w14:textId="2BEDD939" w:rsidR="000B5371" w:rsidRDefault="00000000">
      <w:pPr>
        <w:pStyle w:val="Heading2"/>
      </w:pPr>
      <w:r>
        <w:lastRenderedPageBreak/>
        <w:t>Cluster 1: Infrastructure-Constrained Base Cases</w:t>
      </w:r>
    </w:p>
    <w:tbl>
      <w:tblPr>
        <w:tblW w:w="0" w:type="auto"/>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ook w:val="04A0" w:firstRow="1" w:lastRow="0" w:firstColumn="1" w:lastColumn="0" w:noHBand="0" w:noVBand="1"/>
      </w:tblPr>
      <w:tblGrid>
        <w:gridCol w:w="1436"/>
        <w:gridCol w:w="1440"/>
        <w:gridCol w:w="1440"/>
        <w:gridCol w:w="1439"/>
        <w:gridCol w:w="1437"/>
        <w:gridCol w:w="1438"/>
      </w:tblGrid>
      <w:tr w:rsidR="000B5371" w14:paraId="29CF90C5" w14:textId="77777777">
        <w:tc>
          <w:tcPr>
            <w:tcW w:w="1440" w:type="dxa"/>
            <w:shd w:val="clear" w:color="auto" w:fill="2E5C8A"/>
          </w:tcPr>
          <w:p w14:paraId="1ADA681A" w14:textId="77777777" w:rsidR="000B5371" w:rsidRDefault="00000000">
            <w:pPr>
              <w:jc w:val="center"/>
            </w:pPr>
            <w:r>
              <w:rPr>
                <w:b/>
                <w:color w:val="FFFFFF"/>
                <w:sz w:val="20"/>
              </w:rPr>
              <w:t>Seq #</w:t>
            </w:r>
          </w:p>
        </w:tc>
        <w:tc>
          <w:tcPr>
            <w:tcW w:w="1440" w:type="dxa"/>
            <w:shd w:val="clear" w:color="auto" w:fill="2E5C8A"/>
          </w:tcPr>
          <w:p w14:paraId="47D867F7" w14:textId="77777777" w:rsidR="000B5371" w:rsidRDefault="00000000">
            <w:pPr>
              <w:jc w:val="center"/>
            </w:pPr>
            <w:r>
              <w:rPr>
                <w:b/>
                <w:color w:val="FFFFFF"/>
                <w:sz w:val="20"/>
              </w:rPr>
              <w:t>Scenario</w:t>
            </w:r>
          </w:p>
        </w:tc>
        <w:tc>
          <w:tcPr>
            <w:tcW w:w="1440" w:type="dxa"/>
            <w:shd w:val="clear" w:color="auto" w:fill="2E5C8A"/>
          </w:tcPr>
          <w:p w14:paraId="54194340" w14:textId="77777777" w:rsidR="000B5371" w:rsidRDefault="00000000">
            <w:pPr>
              <w:jc w:val="center"/>
            </w:pPr>
            <w:r>
              <w:rPr>
                <w:b/>
                <w:color w:val="FFFFFF"/>
                <w:sz w:val="20"/>
              </w:rPr>
              <w:t>Constraint</w:t>
            </w:r>
          </w:p>
        </w:tc>
        <w:tc>
          <w:tcPr>
            <w:tcW w:w="1440" w:type="dxa"/>
            <w:shd w:val="clear" w:color="auto" w:fill="2E5C8A"/>
          </w:tcPr>
          <w:p w14:paraId="6835C3E4" w14:textId="77777777" w:rsidR="000B5371" w:rsidRDefault="00000000">
            <w:pPr>
              <w:jc w:val="center"/>
            </w:pPr>
            <w:r>
              <w:rPr>
                <w:b/>
                <w:color w:val="FFFFFF"/>
                <w:sz w:val="20"/>
              </w:rPr>
              <w:t>Probability</w:t>
            </w:r>
          </w:p>
        </w:tc>
        <w:tc>
          <w:tcPr>
            <w:tcW w:w="1440" w:type="dxa"/>
            <w:shd w:val="clear" w:color="auto" w:fill="2E5C8A"/>
          </w:tcPr>
          <w:p w14:paraId="71A8F344" w14:textId="77777777" w:rsidR="000B5371" w:rsidRDefault="00000000">
            <w:pPr>
              <w:jc w:val="center"/>
            </w:pPr>
            <w:r>
              <w:rPr>
                <w:b/>
                <w:color w:val="FFFFFF"/>
                <w:sz w:val="20"/>
              </w:rPr>
              <w:t>Fit</w:t>
            </w:r>
          </w:p>
        </w:tc>
        <w:tc>
          <w:tcPr>
            <w:tcW w:w="1440" w:type="dxa"/>
            <w:shd w:val="clear" w:color="auto" w:fill="2E5C8A"/>
          </w:tcPr>
          <w:p w14:paraId="7989780D" w14:textId="77777777" w:rsidR="000B5371" w:rsidRDefault="00000000">
            <w:pPr>
              <w:jc w:val="center"/>
            </w:pPr>
            <w:r>
              <w:rPr>
                <w:b/>
                <w:color w:val="FFFFFF"/>
                <w:sz w:val="20"/>
              </w:rPr>
              <w:t>Return</w:t>
            </w:r>
          </w:p>
        </w:tc>
      </w:tr>
      <w:tr w:rsidR="000B5371" w14:paraId="19312602" w14:textId="77777777">
        <w:tc>
          <w:tcPr>
            <w:tcW w:w="1440" w:type="dxa"/>
          </w:tcPr>
          <w:p w14:paraId="1AF1ADC2" w14:textId="5B1A6E90" w:rsidR="000B5371" w:rsidRDefault="00000000">
            <w:pPr>
              <w:jc w:val="center"/>
            </w:pPr>
            <w:r>
              <w:rPr>
                <w:sz w:val="20"/>
              </w:rPr>
              <w:t>1</w:t>
            </w:r>
            <w:r w:rsidR="00046B51" w:rsidRPr="00270E1B">
              <w:rPr>
                <w:sz w:val="20"/>
                <w:vertAlign w:val="superscript"/>
              </w:rPr>
              <w:t>1</w:t>
            </w:r>
          </w:p>
        </w:tc>
        <w:tc>
          <w:tcPr>
            <w:tcW w:w="1440" w:type="dxa"/>
          </w:tcPr>
          <w:p w14:paraId="44A3BD4C" w14:textId="77777777" w:rsidR="000B5371" w:rsidRDefault="00000000">
            <w:r>
              <w:rPr>
                <w:sz w:val="20"/>
              </w:rPr>
              <w:t>Gridlock Base Case</w:t>
            </w:r>
          </w:p>
        </w:tc>
        <w:tc>
          <w:tcPr>
            <w:tcW w:w="1440" w:type="dxa"/>
          </w:tcPr>
          <w:p w14:paraId="58A1F3EF" w14:textId="77777777" w:rsidR="000B5371" w:rsidRDefault="00000000">
            <w:r>
              <w:rPr>
                <w:sz w:val="20"/>
              </w:rPr>
              <w:t>Energy &amp; Grid</w:t>
            </w:r>
          </w:p>
        </w:tc>
        <w:tc>
          <w:tcPr>
            <w:tcW w:w="1440" w:type="dxa"/>
          </w:tcPr>
          <w:p w14:paraId="5818042B" w14:textId="77777777" w:rsidR="000B5371" w:rsidRDefault="00000000">
            <w:pPr>
              <w:jc w:val="center"/>
            </w:pPr>
            <w:r>
              <w:rPr>
                <w:sz w:val="20"/>
              </w:rPr>
              <w:t>11.9%</w:t>
            </w:r>
          </w:p>
        </w:tc>
        <w:tc>
          <w:tcPr>
            <w:tcW w:w="1440" w:type="dxa"/>
          </w:tcPr>
          <w:p w14:paraId="2C64D87D" w14:textId="77777777" w:rsidR="000B5371" w:rsidRDefault="00000000">
            <w:pPr>
              <w:jc w:val="center"/>
            </w:pPr>
            <w:r>
              <w:rPr>
                <w:sz w:val="20"/>
              </w:rPr>
              <w:t>86</w:t>
            </w:r>
          </w:p>
        </w:tc>
        <w:tc>
          <w:tcPr>
            <w:tcW w:w="1440" w:type="dxa"/>
          </w:tcPr>
          <w:p w14:paraId="33D1F858" w14:textId="77777777" w:rsidR="000B5371" w:rsidRDefault="00000000">
            <w:pPr>
              <w:jc w:val="center"/>
            </w:pPr>
            <w:r>
              <w:rPr>
                <w:sz w:val="20"/>
              </w:rPr>
              <w:t>+31%</w:t>
            </w:r>
          </w:p>
        </w:tc>
      </w:tr>
      <w:tr w:rsidR="000B5371" w14:paraId="100F542B" w14:textId="77777777">
        <w:tc>
          <w:tcPr>
            <w:tcW w:w="1440" w:type="dxa"/>
          </w:tcPr>
          <w:p w14:paraId="0D8BCCA2" w14:textId="0EDFA162" w:rsidR="000B5371" w:rsidRDefault="00000000">
            <w:pPr>
              <w:jc w:val="center"/>
            </w:pPr>
            <w:r>
              <w:rPr>
                <w:sz w:val="20"/>
              </w:rPr>
              <w:t>7</w:t>
            </w:r>
            <w:r w:rsidR="00270E1B" w:rsidRPr="00270E1B">
              <w:rPr>
                <w:sz w:val="20"/>
                <w:vertAlign w:val="superscript"/>
              </w:rPr>
              <w:t>1</w:t>
            </w:r>
          </w:p>
        </w:tc>
        <w:tc>
          <w:tcPr>
            <w:tcW w:w="1440" w:type="dxa"/>
          </w:tcPr>
          <w:p w14:paraId="47361547" w14:textId="77777777" w:rsidR="000B5371" w:rsidRDefault="00000000">
            <w:r>
              <w:rPr>
                <w:sz w:val="20"/>
              </w:rPr>
              <w:t>Constrained Expansion</w:t>
            </w:r>
          </w:p>
        </w:tc>
        <w:tc>
          <w:tcPr>
            <w:tcW w:w="1440" w:type="dxa"/>
          </w:tcPr>
          <w:p w14:paraId="00DB2801" w14:textId="77777777" w:rsidR="000B5371" w:rsidRDefault="00000000">
            <w:r>
              <w:rPr>
                <w:sz w:val="20"/>
              </w:rPr>
              <w:t>Grid + Inflation</w:t>
            </w:r>
          </w:p>
        </w:tc>
        <w:tc>
          <w:tcPr>
            <w:tcW w:w="1440" w:type="dxa"/>
          </w:tcPr>
          <w:p w14:paraId="729A4E5B" w14:textId="77777777" w:rsidR="000B5371" w:rsidRDefault="00000000">
            <w:pPr>
              <w:jc w:val="center"/>
            </w:pPr>
            <w:r>
              <w:rPr>
                <w:sz w:val="20"/>
              </w:rPr>
              <w:t>8.2%</w:t>
            </w:r>
          </w:p>
        </w:tc>
        <w:tc>
          <w:tcPr>
            <w:tcW w:w="1440" w:type="dxa"/>
          </w:tcPr>
          <w:p w14:paraId="24BCE868" w14:textId="77777777" w:rsidR="000B5371" w:rsidRDefault="00000000">
            <w:pPr>
              <w:jc w:val="center"/>
            </w:pPr>
            <w:r>
              <w:rPr>
                <w:sz w:val="20"/>
              </w:rPr>
              <w:t>82</w:t>
            </w:r>
          </w:p>
        </w:tc>
        <w:tc>
          <w:tcPr>
            <w:tcW w:w="1440" w:type="dxa"/>
          </w:tcPr>
          <w:p w14:paraId="7E2C99A5" w14:textId="77777777" w:rsidR="000B5371" w:rsidRDefault="00000000">
            <w:pPr>
              <w:jc w:val="center"/>
            </w:pPr>
            <w:r>
              <w:rPr>
                <w:sz w:val="20"/>
              </w:rPr>
              <w:t>+28%</w:t>
            </w:r>
          </w:p>
        </w:tc>
      </w:tr>
      <w:tr w:rsidR="000B5371" w14:paraId="0938584B" w14:textId="77777777">
        <w:tc>
          <w:tcPr>
            <w:tcW w:w="1440" w:type="dxa"/>
          </w:tcPr>
          <w:p w14:paraId="371CA773" w14:textId="4A3E8252" w:rsidR="000B5371" w:rsidRDefault="00000000">
            <w:pPr>
              <w:jc w:val="center"/>
            </w:pPr>
            <w:r>
              <w:rPr>
                <w:sz w:val="20"/>
              </w:rPr>
              <w:t>12</w:t>
            </w:r>
            <w:r w:rsidR="00046B51" w:rsidRPr="00270E1B">
              <w:rPr>
                <w:sz w:val="20"/>
                <w:vertAlign w:val="superscript"/>
              </w:rPr>
              <w:t>1</w:t>
            </w:r>
          </w:p>
        </w:tc>
        <w:tc>
          <w:tcPr>
            <w:tcW w:w="1440" w:type="dxa"/>
          </w:tcPr>
          <w:p w14:paraId="6150B899" w14:textId="77777777" w:rsidR="000B5371" w:rsidRDefault="00000000">
            <w:r>
              <w:rPr>
                <w:sz w:val="20"/>
              </w:rPr>
              <w:t>Constrained Growth</w:t>
            </w:r>
          </w:p>
        </w:tc>
        <w:tc>
          <w:tcPr>
            <w:tcW w:w="1440" w:type="dxa"/>
          </w:tcPr>
          <w:p w14:paraId="70C6ACE8" w14:textId="77777777" w:rsidR="000B5371" w:rsidRDefault="00000000">
            <w:r>
              <w:rPr>
                <w:sz w:val="20"/>
              </w:rPr>
              <w:t>Infrastructure</w:t>
            </w:r>
          </w:p>
        </w:tc>
        <w:tc>
          <w:tcPr>
            <w:tcW w:w="1440" w:type="dxa"/>
          </w:tcPr>
          <w:p w14:paraId="10E42CA1" w14:textId="77777777" w:rsidR="000B5371" w:rsidRDefault="00000000">
            <w:pPr>
              <w:jc w:val="center"/>
            </w:pPr>
            <w:r>
              <w:rPr>
                <w:sz w:val="20"/>
              </w:rPr>
              <w:t>11.9%</w:t>
            </w:r>
          </w:p>
        </w:tc>
        <w:tc>
          <w:tcPr>
            <w:tcW w:w="1440" w:type="dxa"/>
          </w:tcPr>
          <w:p w14:paraId="1C90E8FE" w14:textId="77777777" w:rsidR="000B5371" w:rsidRDefault="00000000">
            <w:pPr>
              <w:jc w:val="center"/>
            </w:pPr>
            <w:r>
              <w:rPr>
                <w:sz w:val="20"/>
              </w:rPr>
              <w:t>84</w:t>
            </w:r>
          </w:p>
        </w:tc>
        <w:tc>
          <w:tcPr>
            <w:tcW w:w="1440" w:type="dxa"/>
          </w:tcPr>
          <w:p w14:paraId="7E471D34" w14:textId="77777777" w:rsidR="000B5371" w:rsidRDefault="00000000">
            <w:pPr>
              <w:jc w:val="center"/>
            </w:pPr>
            <w:r>
              <w:rPr>
                <w:sz w:val="20"/>
              </w:rPr>
              <w:t>+29%</w:t>
            </w:r>
          </w:p>
        </w:tc>
      </w:tr>
      <w:tr w:rsidR="000B5371" w14:paraId="4B515F6D" w14:textId="77777777">
        <w:tc>
          <w:tcPr>
            <w:tcW w:w="1440" w:type="dxa"/>
          </w:tcPr>
          <w:p w14:paraId="519FE739" w14:textId="77777777" w:rsidR="000B5371" w:rsidRDefault="00000000">
            <w:pPr>
              <w:jc w:val="center"/>
            </w:pPr>
            <w:r>
              <w:rPr>
                <w:sz w:val="20"/>
              </w:rPr>
              <w:t>17</w:t>
            </w:r>
          </w:p>
        </w:tc>
        <w:tc>
          <w:tcPr>
            <w:tcW w:w="1440" w:type="dxa"/>
          </w:tcPr>
          <w:p w14:paraId="7E765576" w14:textId="77777777" w:rsidR="000B5371" w:rsidRDefault="00000000">
            <w:r>
              <w:rPr>
                <w:sz w:val="20"/>
              </w:rPr>
              <w:t>Constrained Acceleration</w:t>
            </w:r>
          </w:p>
        </w:tc>
        <w:tc>
          <w:tcPr>
            <w:tcW w:w="1440" w:type="dxa"/>
          </w:tcPr>
          <w:p w14:paraId="1CB99551" w14:textId="77777777" w:rsidR="000B5371" w:rsidRDefault="00000000">
            <w:r>
              <w:rPr>
                <w:sz w:val="20"/>
              </w:rPr>
              <w:t>Transformer Times</w:t>
            </w:r>
          </w:p>
        </w:tc>
        <w:tc>
          <w:tcPr>
            <w:tcW w:w="1440" w:type="dxa"/>
          </w:tcPr>
          <w:p w14:paraId="16A20B3C" w14:textId="77777777" w:rsidR="000B5371" w:rsidRDefault="00000000">
            <w:pPr>
              <w:jc w:val="center"/>
            </w:pPr>
            <w:r>
              <w:rPr>
                <w:sz w:val="20"/>
              </w:rPr>
              <w:t>9.1%</w:t>
            </w:r>
          </w:p>
        </w:tc>
        <w:tc>
          <w:tcPr>
            <w:tcW w:w="1440" w:type="dxa"/>
          </w:tcPr>
          <w:p w14:paraId="6195C939" w14:textId="77777777" w:rsidR="000B5371" w:rsidRDefault="00000000">
            <w:pPr>
              <w:jc w:val="center"/>
            </w:pPr>
            <w:r>
              <w:rPr>
                <w:sz w:val="20"/>
              </w:rPr>
              <w:t>88</w:t>
            </w:r>
          </w:p>
        </w:tc>
        <w:tc>
          <w:tcPr>
            <w:tcW w:w="1440" w:type="dxa"/>
          </w:tcPr>
          <w:p w14:paraId="4A557409" w14:textId="77777777" w:rsidR="000B5371" w:rsidRDefault="00000000">
            <w:pPr>
              <w:jc w:val="center"/>
            </w:pPr>
            <w:r>
              <w:rPr>
                <w:sz w:val="20"/>
              </w:rPr>
              <w:t>+32%</w:t>
            </w:r>
          </w:p>
        </w:tc>
      </w:tr>
      <w:tr w:rsidR="000B5371" w14:paraId="3749F12B" w14:textId="77777777" w:rsidTr="007F5E64">
        <w:tc>
          <w:tcPr>
            <w:tcW w:w="1440" w:type="dxa"/>
          </w:tcPr>
          <w:p w14:paraId="0BC6B07E" w14:textId="77777777" w:rsidR="000B5371" w:rsidRDefault="00000000">
            <w:r>
              <w:rPr>
                <w:b/>
                <w:sz w:val="20"/>
              </w:rPr>
              <w:t>Total</w:t>
            </w:r>
          </w:p>
        </w:tc>
        <w:tc>
          <w:tcPr>
            <w:tcW w:w="1440" w:type="dxa"/>
          </w:tcPr>
          <w:p w14:paraId="606D87B8" w14:textId="77777777" w:rsidR="000B5371" w:rsidRDefault="00000000">
            <w:r>
              <w:rPr>
                <w:b/>
                <w:sz w:val="20"/>
              </w:rPr>
              <w:t>4 scenarios</w:t>
            </w:r>
          </w:p>
        </w:tc>
        <w:tc>
          <w:tcPr>
            <w:tcW w:w="1440" w:type="dxa"/>
          </w:tcPr>
          <w:p w14:paraId="64FC95A7" w14:textId="77777777" w:rsidR="000B5371" w:rsidRDefault="00000000">
            <w:r>
              <w:rPr>
                <w:sz w:val="20"/>
              </w:rPr>
              <w:t>—</w:t>
            </w:r>
          </w:p>
        </w:tc>
        <w:tc>
          <w:tcPr>
            <w:tcW w:w="1440" w:type="dxa"/>
          </w:tcPr>
          <w:p w14:paraId="49061284" w14:textId="77777777" w:rsidR="000B5371" w:rsidRDefault="00000000">
            <w:pPr>
              <w:jc w:val="center"/>
            </w:pPr>
            <w:r>
              <w:rPr>
                <w:b/>
                <w:sz w:val="20"/>
              </w:rPr>
              <w:t>41.1%</w:t>
            </w:r>
          </w:p>
        </w:tc>
        <w:tc>
          <w:tcPr>
            <w:tcW w:w="1440" w:type="dxa"/>
          </w:tcPr>
          <w:p w14:paraId="09012C8C" w14:textId="77777777" w:rsidR="000B5371" w:rsidRDefault="00000000">
            <w:pPr>
              <w:jc w:val="center"/>
            </w:pPr>
            <w:r>
              <w:rPr>
                <w:b/>
                <w:sz w:val="20"/>
              </w:rPr>
              <w:t>85 avg</w:t>
            </w:r>
          </w:p>
        </w:tc>
        <w:tc>
          <w:tcPr>
            <w:tcW w:w="1440" w:type="dxa"/>
          </w:tcPr>
          <w:p w14:paraId="0D169B21" w14:textId="77777777" w:rsidR="000B5371" w:rsidRDefault="00000000">
            <w:pPr>
              <w:jc w:val="center"/>
            </w:pPr>
            <w:r>
              <w:rPr>
                <w:b/>
                <w:sz w:val="20"/>
              </w:rPr>
              <w:t>+30% avg</w:t>
            </w:r>
          </w:p>
        </w:tc>
      </w:tr>
    </w:tbl>
    <w:p w14:paraId="1B4CFE2A" w14:textId="34AD6BC5" w:rsidR="00270E1B" w:rsidRPr="009F3FBC" w:rsidRDefault="00270E1B">
      <w:pPr>
        <w:spacing w:before="240"/>
        <w:rPr>
          <w:bCs/>
          <w:sz w:val="20"/>
          <w:szCs w:val="20"/>
        </w:rPr>
      </w:pPr>
      <w:r w:rsidRPr="009F3FBC">
        <w:rPr>
          <w:bCs/>
          <w:sz w:val="20"/>
          <w:szCs w:val="20"/>
          <w:vertAlign w:val="superscript"/>
        </w:rPr>
        <w:t>1</w:t>
      </w:r>
      <w:r w:rsidRPr="009F3FBC">
        <w:rPr>
          <w:bCs/>
          <w:sz w:val="20"/>
          <w:szCs w:val="20"/>
        </w:rPr>
        <w:t xml:space="preserve"> As of 1/30/26, Sequence 7, followed by Sequences 12 and 1, were </w:t>
      </w:r>
      <w:r w:rsidR="00046B51" w:rsidRPr="009F3FBC">
        <w:rPr>
          <w:bCs/>
          <w:sz w:val="20"/>
          <w:szCs w:val="20"/>
        </w:rPr>
        <w:t>identified</w:t>
      </w:r>
      <w:r w:rsidRPr="009F3FBC">
        <w:rPr>
          <w:bCs/>
          <w:sz w:val="20"/>
          <w:szCs w:val="20"/>
        </w:rPr>
        <w:t xml:space="preserve"> by all 5</w:t>
      </w:r>
      <w:r w:rsidR="00B17D44" w:rsidRPr="009F3FBC">
        <w:rPr>
          <w:bCs/>
          <w:sz w:val="20"/>
          <w:szCs w:val="20"/>
        </w:rPr>
        <w:br/>
      </w:r>
      <w:r w:rsidRPr="009F3FBC">
        <w:rPr>
          <w:bCs/>
          <w:sz w:val="20"/>
          <w:szCs w:val="20"/>
        </w:rPr>
        <w:t xml:space="preserve"> </w:t>
      </w:r>
      <w:r w:rsidR="00B17D44" w:rsidRPr="009F3FBC">
        <w:rPr>
          <w:bCs/>
          <w:sz w:val="20"/>
          <w:szCs w:val="20"/>
        </w:rPr>
        <w:t xml:space="preserve"> </w:t>
      </w:r>
      <w:r w:rsidRPr="009F3FBC">
        <w:rPr>
          <w:bCs/>
          <w:sz w:val="20"/>
          <w:szCs w:val="20"/>
        </w:rPr>
        <w:t>AI tools as the most aligned sequence</w:t>
      </w:r>
      <w:r w:rsidR="00046B51" w:rsidRPr="009F3FBC">
        <w:rPr>
          <w:bCs/>
          <w:sz w:val="20"/>
          <w:szCs w:val="20"/>
        </w:rPr>
        <w:t>s</w:t>
      </w:r>
      <w:r w:rsidRPr="009F3FBC">
        <w:rPr>
          <w:bCs/>
          <w:sz w:val="20"/>
          <w:szCs w:val="20"/>
        </w:rPr>
        <w:t xml:space="preserve"> to current 2026 conditions.</w:t>
      </w:r>
    </w:p>
    <w:p w14:paraId="2AB5D098" w14:textId="52B23FF8" w:rsidR="000B5371" w:rsidRDefault="00000000">
      <w:pPr>
        <w:spacing w:before="240"/>
      </w:pPr>
      <w:r>
        <w:rPr>
          <w:b/>
        </w:rPr>
        <w:t xml:space="preserve">Portfolio Assessment: </w:t>
      </w:r>
      <w:r>
        <w:t>Exceptional positioning. The 22.2% allocation to power/grid infrastructure (GEV, CEG, VST, ETN, PWR) directly solves binding constraints in all four scenarios. This is the portfolio's optimal environment, representing the single largest probability cluster.</w:t>
      </w:r>
    </w:p>
    <w:p w14:paraId="1C10261F" w14:textId="77777777" w:rsidR="000B5371" w:rsidRDefault="00000000">
      <w:pPr>
        <w:pStyle w:val="Heading2"/>
      </w:pPr>
      <w:r>
        <w:t>Cluster 2: Productivity Breakthrough Scenarios</w:t>
      </w:r>
    </w:p>
    <w:tbl>
      <w:tblPr>
        <w:tblW w:w="0" w:type="auto"/>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ook w:val="04A0" w:firstRow="1" w:lastRow="0" w:firstColumn="1" w:lastColumn="0" w:noHBand="0" w:noVBand="1"/>
      </w:tblPr>
      <w:tblGrid>
        <w:gridCol w:w="1437"/>
        <w:gridCol w:w="1440"/>
        <w:gridCol w:w="1440"/>
        <w:gridCol w:w="1439"/>
        <w:gridCol w:w="1436"/>
        <w:gridCol w:w="1438"/>
      </w:tblGrid>
      <w:tr w:rsidR="000B5371" w14:paraId="45F735DD" w14:textId="77777777" w:rsidTr="009F3FBC">
        <w:trPr>
          <w:trHeight w:val="288"/>
        </w:trPr>
        <w:tc>
          <w:tcPr>
            <w:tcW w:w="1440" w:type="dxa"/>
            <w:shd w:val="clear" w:color="auto" w:fill="2E5C8A"/>
          </w:tcPr>
          <w:p w14:paraId="32933101" w14:textId="77777777" w:rsidR="000B5371" w:rsidRDefault="00000000">
            <w:pPr>
              <w:jc w:val="center"/>
            </w:pPr>
            <w:r>
              <w:rPr>
                <w:b/>
                <w:color w:val="FFFFFF"/>
                <w:sz w:val="20"/>
              </w:rPr>
              <w:t>Seq #</w:t>
            </w:r>
          </w:p>
        </w:tc>
        <w:tc>
          <w:tcPr>
            <w:tcW w:w="1440" w:type="dxa"/>
            <w:shd w:val="clear" w:color="auto" w:fill="2E5C8A"/>
          </w:tcPr>
          <w:p w14:paraId="53CBC09D" w14:textId="77777777" w:rsidR="000B5371" w:rsidRDefault="00000000">
            <w:pPr>
              <w:jc w:val="center"/>
            </w:pPr>
            <w:r>
              <w:rPr>
                <w:b/>
                <w:color w:val="FFFFFF"/>
                <w:sz w:val="20"/>
              </w:rPr>
              <w:t>Scenario</w:t>
            </w:r>
          </w:p>
        </w:tc>
        <w:tc>
          <w:tcPr>
            <w:tcW w:w="1440" w:type="dxa"/>
            <w:shd w:val="clear" w:color="auto" w:fill="2E5C8A"/>
          </w:tcPr>
          <w:p w14:paraId="4AA92B4A" w14:textId="77777777" w:rsidR="000B5371" w:rsidRDefault="00000000">
            <w:pPr>
              <w:jc w:val="center"/>
            </w:pPr>
            <w:r>
              <w:rPr>
                <w:b/>
                <w:color w:val="FFFFFF"/>
                <w:sz w:val="20"/>
              </w:rPr>
              <w:t>Constraint</w:t>
            </w:r>
          </w:p>
        </w:tc>
        <w:tc>
          <w:tcPr>
            <w:tcW w:w="1440" w:type="dxa"/>
            <w:shd w:val="clear" w:color="auto" w:fill="2E5C8A"/>
          </w:tcPr>
          <w:p w14:paraId="56EE9112" w14:textId="77777777" w:rsidR="000B5371" w:rsidRDefault="00000000">
            <w:pPr>
              <w:jc w:val="center"/>
            </w:pPr>
            <w:r>
              <w:rPr>
                <w:b/>
                <w:color w:val="FFFFFF"/>
                <w:sz w:val="20"/>
              </w:rPr>
              <w:t>Probability</w:t>
            </w:r>
          </w:p>
        </w:tc>
        <w:tc>
          <w:tcPr>
            <w:tcW w:w="1440" w:type="dxa"/>
            <w:shd w:val="clear" w:color="auto" w:fill="2E5C8A"/>
          </w:tcPr>
          <w:p w14:paraId="19403B8E" w14:textId="77777777" w:rsidR="000B5371" w:rsidRDefault="00000000">
            <w:pPr>
              <w:jc w:val="center"/>
            </w:pPr>
            <w:r>
              <w:rPr>
                <w:b/>
                <w:color w:val="FFFFFF"/>
                <w:sz w:val="20"/>
              </w:rPr>
              <w:t>Fit</w:t>
            </w:r>
          </w:p>
        </w:tc>
        <w:tc>
          <w:tcPr>
            <w:tcW w:w="1440" w:type="dxa"/>
            <w:shd w:val="clear" w:color="auto" w:fill="2E5C8A"/>
          </w:tcPr>
          <w:p w14:paraId="50396C29" w14:textId="77777777" w:rsidR="000B5371" w:rsidRDefault="00000000">
            <w:pPr>
              <w:jc w:val="center"/>
            </w:pPr>
            <w:r>
              <w:rPr>
                <w:b/>
                <w:color w:val="FFFFFF"/>
                <w:sz w:val="20"/>
              </w:rPr>
              <w:t>Return</w:t>
            </w:r>
          </w:p>
        </w:tc>
      </w:tr>
      <w:tr w:rsidR="000B5371" w14:paraId="4D5D1AD3" w14:textId="77777777" w:rsidTr="009F3FBC">
        <w:trPr>
          <w:trHeight w:val="288"/>
        </w:trPr>
        <w:tc>
          <w:tcPr>
            <w:tcW w:w="1440" w:type="dxa"/>
          </w:tcPr>
          <w:p w14:paraId="37DA3860" w14:textId="77777777" w:rsidR="000B5371" w:rsidRDefault="00000000">
            <w:pPr>
              <w:jc w:val="center"/>
            </w:pPr>
            <w:r>
              <w:rPr>
                <w:sz w:val="20"/>
              </w:rPr>
              <w:t>3</w:t>
            </w:r>
          </w:p>
        </w:tc>
        <w:tc>
          <w:tcPr>
            <w:tcW w:w="1440" w:type="dxa"/>
          </w:tcPr>
          <w:p w14:paraId="49B19397" w14:textId="77777777" w:rsidR="000B5371" w:rsidRDefault="00000000">
            <w:r>
              <w:rPr>
                <w:sz w:val="20"/>
              </w:rPr>
              <w:t>Productivity Surge</w:t>
            </w:r>
          </w:p>
        </w:tc>
        <w:tc>
          <w:tcPr>
            <w:tcW w:w="1440" w:type="dxa"/>
          </w:tcPr>
          <w:p w14:paraId="3C77E418" w14:textId="77777777" w:rsidR="000B5371" w:rsidRDefault="00000000">
            <w:r>
              <w:rPr>
                <w:sz w:val="20"/>
              </w:rPr>
              <w:t>AI Adoption</w:t>
            </w:r>
          </w:p>
        </w:tc>
        <w:tc>
          <w:tcPr>
            <w:tcW w:w="1440" w:type="dxa"/>
          </w:tcPr>
          <w:p w14:paraId="5E763732" w14:textId="77777777" w:rsidR="000B5371" w:rsidRDefault="00000000">
            <w:pPr>
              <w:jc w:val="center"/>
            </w:pPr>
            <w:r>
              <w:rPr>
                <w:sz w:val="20"/>
              </w:rPr>
              <w:t>4.3%</w:t>
            </w:r>
          </w:p>
        </w:tc>
        <w:tc>
          <w:tcPr>
            <w:tcW w:w="1440" w:type="dxa"/>
          </w:tcPr>
          <w:p w14:paraId="78306821" w14:textId="77777777" w:rsidR="000B5371" w:rsidRDefault="00000000">
            <w:pPr>
              <w:jc w:val="center"/>
            </w:pPr>
            <w:r>
              <w:rPr>
                <w:sz w:val="20"/>
              </w:rPr>
              <w:t>92</w:t>
            </w:r>
          </w:p>
        </w:tc>
        <w:tc>
          <w:tcPr>
            <w:tcW w:w="1440" w:type="dxa"/>
          </w:tcPr>
          <w:p w14:paraId="7417BA90" w14:textId="77777777" w:rsidR="000B5371" w:rsidRDefault="00000000">
            <w:pPr>
              <w:jc w:val="center"/>
            </w:pPr>
            <w:r>
              <w:rPr>
                <w:sz w:val="20"/>
              </w:rPr>
              <w:t>+38%</w:t>
            </w:r>
          </w:p>
        </w:tc>
      </w:tr>
      <w:tr w:rsidR="000B5371" w14:paraId="06912C7B" w14:textId="77777777" w:rsidTr="009F3FBC">
        <w:trPr>
          <w:trHeight w:val="288"/>
        </w:trPr>
        <w:tc>
          <w:tcPr>
            <w:tcW w:w="1440" w:type="dxa"/>
          </w:tcPr>
          <w:p w14:paraId="07DAFBE1" w14:textId="77777777" w:rsidR="000B5371" w:rsidRDefault="00000000">
            <w:pPr>
              <w:jc w:val="center"/>
            </w:pPr>
            <w:r>
              <w:rPr>
                <w:sz w:val="20"/>
              </w:rPr>
              <w:t>13</w:t>
            </w:r>
          </w:p>
        </w:tc>
        <w:tc>
          <w:tcPr>
            <w:tcW w:w="1440" w:type="dxa"/>
          </w:tcPr>
          <w:p w14:paraId="76FD9770" w14:textId="77777777" w:rsidR="000B5371" w:rsidRDefault="00000000">
            <w:r>
              <w:rPr>
                <w:sz w:val="20"/>
              </w:rPr>
              <w:t>AI Breakthrough Acceleration</w:t>
            </w:r>
          </w:p>
        </w:tc>
        <w:tc>
          <w:tcPr>
            <w:tcW w:w="1440" w:type="dxa"/>
          </w:tcPr>
          <w:p w14:paraId="79A7A66F" w14:textId="77777777" w:rsidR="000B5371" w:rsidRDefault="00000000">
            <w:r>
              <w:rPr>
                <w:sz w:val="20"/>
              </w:rPr>
              <w:t>Capital ROI</w:t>
            </w:r>
          </w:p>
        </w:tc>
        <w:tc>
          <w:tcPr>
            <w:tcW w:w="1440" w:type="dxa"/>
          </w:tcPr>
          <w:p w14:paraId="2FA8EF2E" w14:textId="77777777" w:rsidR="000B5371" w:rsidRDefault="00000000">
            <w:pPr>
              <w:jc w:val="center"/>
            </w:pPr>
            <w:r>
              <w:rPr>
                <w:sz w:val="20"/>
              </w:rPr>
              <w:t>3.2%</w:t>
            </w:r>
          </w:p>
        </w:tc>
        <w:tc>
          <w:tcPr>
            <w:tcW w:w="1440" w:type="dxa"/>
          </w:tcPr>
          <w:p w14:paraId="7EEC7F1D" w14:textId="77777777" w:rsidR="000B5371" w:rsidRDefault="00000000">
            <w:pPr>
              <w:jc w:val="center"/>
            </w:pPr>
            <w:r>
              <w:rPr>
                <w:sz w:val="20"/>
              </w:rPr>
              <w:t>90</w:t>
            </w:r>
          </w:p>
        </w:tc>
        <w:tc>
          <w:tcPr>
            <w:tcW w:w="1440" w:type="dxa"/>
          </w:tcPr>
          <w:p w14:paraId="51D57FB5" w14:textId="77777777" w:rsidR="000B5371" w:rsidRDefault="00000000">
            <w:pPr>
              <w:jc w:val="center"/>
            </w:pPr>
            <w:r>
              <w:rPr>
                <w:sz w:val="20"/>
              </w:rPr>
              <w:t>+36%</w:t>
            </w:r>
          </w:p>
        </w:tc>
      </w:tr>
      <w:tr w:rsidR="000B5371" w14:paraId="78A5A1A5" w14:textId="77777777" w:rsidTr="009F3FBC">
        <w:trPr>
          <w:trHeight w:val="288"/>
        </w:trPr>
        <w:tc>
          <w:tcPr>
            <w:tcW w:w="1440" w:type="dxa"/>
          </w:tcPr>
          <w:p w14:paraId="0A64297A" w14:textId="77777777" w:rsidR="000B5371" w:rsidRDefault="00000000">
            <w:pPr>
              <w:jc w:val="center"/>
            </w:pPr>
            <w:r>
              <w:rPr>
                <w:sz w:val="20"/>
              </w:rPr>
              <w:t>18</w:t>
            </w:r>
          </w:p>
        </w:tc>
        <w:tc>
          <w:tcPr>
            <w:tcW w:w="1440" w:type="dxa"/>
          </w:tcPr>
          <w:p w14:paraId="3F97E90A" w14:textId="77777777" w:rsidR="000B5371" w:rsidRDefault="00000000">
            <w:r>
              <w:rPr>
                <w:sz w:val="20"/>
              </w:rPr>
              <w:t>Orchestration Boom</w:t>
            </w:r>
          </w:p>
        </w:tc>
        <w:tc>
          <w:tcPr>
            <w:tcW w:w="1440" w:type="dxa"/>
          </w:tcPr>
          <w:p w14:paraId="41D3F58E" w14:textId="77777777" w:rsidR="000B5371" w:rsidRDefault="00000000">
            <w:r>
              <w:rPr>
                <w:sz w:val="20"/>
              </w:rPr>
              <w:t>Displacement Threshold</w:t>
            </w:r>
          </w:p>
        </w:tc>
        <w:tc>
          <w:tcPr>
            <w:tcW w:w="1440" w:type="dxa"/>
          </w:tcPr>
          <w:p w14:paraId="7B802904" w14:textId="77777777" w:rsidR="000B5371" w:rsidRDefault="00000000">
            <w:pPr>
              <w:jc w:val="center"/>
            </w:pPr>
            <w:r>
              <w:rPr>
                <w:sz w:val="20"/>
              </w:rPr>
              <w:t>4.8%</w:t>
            </w:r>
          </w:p>
        </w:tc>
        <w:tc>
          <w:tcPr>
            <w:tcW w:w="1440" w:type="dxa"/>
          </w:tcPr>
          <w:p w14:paraId="7EB275E3" w14:textId="77777777" w:rsidR="000B5371" w:rsidRDefault="00000000">
            <w:pPr>
              <w:jc w:val="center"/>
            </w:pPr>
            <w:r>
              <w:rPr>
                <w:sz w:val="20"/>
              </w:rPr>
              <w:t>94</w:t>
            </w:r>
          </w:p>
        </w:tc>
        <w:tc>
          <w:tcPr>
            <w:tcW w:w="1440" w:type="dxa"/>
          </w:tcPr>
          <w:p w14:paraId="1F6173D6" w14:textId="77777777" w:rsidR="000B5371" w:rsidRDefault="00000000">
            <w:pPr>
              <w:jc w:val="center"/>
            </w:pPr>
            <w:r>
              <w:rPr>
                <w:sz w:val="20"/>
              </w:rPr>
              <w:t>+40%</w:t>
            </w:r>
          </w:p>
        </w:tc>
      </w:tr>
      <w:tr w:rsidR="000B5371" w14:paraId="454D2602" w14:textId="77777777" w:rsidTr="009F3FBC">
        <w:trPr>
          <w:trHeight w:val="288"/>
        </w:trPr>
        <w:tc>
          <w:tcPr>
            <w:tcW w:w="1440" w:type="dxa"/>
          </w:tcPr>
          <w:p w14:paraId="05372D08" w14:textId="77777777" w:rsidR="000B5371" w:rsidRDefault="00000000">
            <w:r>
              <w:rPr>
                <w:b/>
                <w:sz w:val="20"/>
              </w:rPr>
              <w:t>Total</w:t>
            </w:r>
          </w:p>
        </w:tc>
        <w:tc>
          <w:tcPr>
            <w:tcW w:w="1440" w:type="dxa"/>
          </w:tcPr>
          <w:p w14:paraId="30C74993" w14:textId="77777777" w:rsidR="000B5371" w:rsidRDefault="00000000">
            <w:r>
              <w:rPr>
                <w:b/>
                <w:sz w:val="20"/>
              </w:rPr>
              <w:t>3 scenarios</w:t>
            </w:r>
          </w:p>
        </w:tc>
        <w:tc>
          <w:tcPr>
            <w:tcW w:w="1440" w:type="dxa"/>
          </w:tcPr>
          <w:p w14:paraId="685E52AF" w14:textId="77777777" w:rsidR="000B5371" w:rsidRDefault="00000000">
            <w:r>
              <w:rPr>
                <w:sz w:val="20"/>
              </w:rPr>
              <w:t>—</w:t>
            </w:r>
          </w:p>
        </w:tc>
        <w:tc>
          <w:tcPr>
            <w:tcW w:w="1440" w:type="dxa"/>
            <w:shd w:val="clear" w:color="auto" w:fill="E8F5E9"/>
          </w:tcPr>
          <w:p w14:paraId="0596EBF4" w14:textId="77777777" w:rsidR="000B5371" w:rsidRDefault="00000000">
            <w:pPr>
              <w:jc w:val="center"/>
            </w:pPr>
            <w:r>
              <w:rPr>
                <w:b/>
                <w:sz w:val="20"/>
              </w:rPr>
              <w:t>12.3%</w:t>
            </w:r>
          </w:p>
        </w:tc>
        <w:tc>
          <w:tcPr>
            <w:tcW w:w="1440" w:type="dxa"/>
            <w:shd w:val="clear" w:color="auto" w:fill="E8F5E9"/>
          </w:tcPr>
          <w:p w14:paraId="09E6A418" w14:textId="77777777" w:rsidR="000B5371" w:rsidRDefault="00000000">
            <w:pPr>
              <w:jc w:val="center"/>
            </w:pPr>
            <w:r>
              <w:rPr>
                <w:b/>
                <w:sz w:val="20"/>
              </w:rPr>
              <w:t>92 avg</w:t>
            </w:r>
          </w:p>
        </w:tc>
        <w:tc>
          <w:tcPr>
            <w:tcW w:w="1440" w:type="dxa"/>
            <w:shd w:val="clear" w:color="auto" w:fill="E8F5E9"/>
          </w:tcPr>
          <w:p w14:paraId="7031E5E3" w14:textId="77777777" w:rsidR="000B5371" w:rsidRDefault="00000000">
            <w:pPr>
              <w:jc w:val="center"/>
            </w:pPr>
            <w:r>
              <w:rPr>
                <w:b/>
                <w:sz w:val="20"/>
              </w:rPr>
              <w:t>+38% avg</w:t>
            </w:r>
          </w:p>
        </w:tc>
      </w:tr>
    </w:tbl>
    <w:p w14:paraId="1A2B7BFD" w14:textId="1BA88EAD" w:rsidR="000B5371" w:rsidRDefault="00000000" w:rsidP="00874379">
      <w:pPr>
        <w:spacing w:before="240"/>
      </w:pPr>
      <w:r>
        <w:rPr>
          <w:b/>
        </w:rPr>
        <w:t xml:space="preserve">Portfolio Assessment: </w:t>
      </w:r>
      <w:r>
        <w:t xml:space="preserve">Near-perfect alignment. Enterprise software exposure (NOW 2.4%, MSFT 5.4%, GOOGL 3.7%, CRM 0.9%, SNOW 1.4%) positions portfolio to capture orchestration gains. The </w:t>
      </w:r>
      <w:proofErr w:type="gramStart"/>
      <w:r>
        <w:t>94 fit</w:t>
      </w:r>
      <w:proofErr w:type="gramEnd"/>
      <w:r>
        <w:t xml:space="preserve"> score in Sequence 18 represents portfolio's single best outcome.</w:t>
      </w:r>
      <w:r>
        <w:br w:type="page"/>
      </w:r>
    </w:p>
    <w:p w14:paraId="11406591" w14:textId="77777777" w:rsidR="000B5371" w:rsidRDefault="00000000">
      <w:pPr>
        <w:pStyle w:val="Heading2"/>
      </w:pPr>
      <w:r>
        <w:lastRenderedPageBreak/>
        <w:t>Cluster 3: Infrastructure Crisis Scenarios</w:t>
      </w:r>
    </w:p>
    <w:tbl>
      <w:tblPr>
        <w:tblW w:w="0" w:type="auto"/>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ook w:val="04A0" w:firstRow="1" w:lastRow="0" w:firstColumn="1" w:lastColumn="0" w:noHBand="0" w:noVBand="1"/>
      </w:tblPr>
      <w:tblGrid>
        <w:gridCol w:w="1431"/>
        <w:gridCol w:w="1461"/>
        <w:gridCol w:w="1437"/>
        <w:gridCol w:w="1438"/>
        <w:gridCol w:w="1430"/>
        <w:gridCol w:w="1433"/>
      </w:tblGrid>
      <w:tr w:rsidR="000B5371" w14:paraId="71EDC87D" w14:textId="77777777">
        <w:tc>
          <w:tcPr>
            <w:tcW w:w="1440" w:type="dxa"/>
            <w:shd w:val="clear" w:color="auto" w:fill="2E5C8A"/>
          </w:tcPr>
          <w:p w14:paraId="6E85182E" w14:textId="77777777" w:rsidR="000B5371" w:rsidRDefault="00000000">
            <w:pPr>
              <w:jc w:val="center"/>
            </w:pPr>
            <w:r>
              <w:rPr>
                <w:b/>
                <w:color w:val="FFFFFF"/>
                <w:sz w:val="20"/>
              </w:rPr>
              <w:t>Seq #</w:t>
            </w:r>
          </w:p>
        </w:tc>
        <w:tc>
          <w:tcPr>
            <w:tcW w:w="1440" w:type="dxa"/>
            <w:shd w:val="clear" w:color="auto" w:fill="2E5C8A"/>
          </w:tcPr>
          <w:p w14:paraId="02FD98DF" w14:textId="77777777" w:rsidR="000B5371" w:rsidRDefault="00000000">
            <w:pPr>
              <w:jc w:val="center"/>
            </w:pPr>
            <w:r>
              <w:rPr>
                <w:b/>
                <w:color w:val="FFFFFF"/>
                <w:sz w:val="20"/>
              </w:rPr>
              <w:t>Scenario</w:t>
            </w:r>
          </w:p>
        </w:tc>
        <w:tc>
          <w:tcPr>
            <w:tcW w:w="1440" w:type="dxa"/>
            <w:shd w:val="clear" w:color="auto" w:fill="2E5C8A"/>
          </w:tcPr>
          <w:p w14:paraId="55DE55BD" w14:textId="77777777" w:rsidR="000B5371" w:rsidRDefault="00000000">
            <w:pPr>
              <w:jc w:val="center"/>
            </w:pPr>
            <w:r>
              <w:rPr>
                <w:b/>
                <w:color w:val="FFFFFF"/>
                <w:sz w:val="20"/>
              </w:rPr>
              <w:t>Constraint</w:t>
            </w:r>
          </w:p>
        </w:tc>
        <w:tc>
          <w:tcPr>
            <w:tcW w:w="1440" w:type="dxa"/>
            <w:shd w:val="clear" w:color="auto" w:fill="2E5C8A"/>
          </w:tcPr>
          <w:p w14:paraId="4D8C0C61" w14:textId="77777777" w:rsidR="000B5371" w:rsidRDefault="00000000">
            <w:pPr>
              <w:jc w:val="center"/>
            </w:pPr>
            <w:r>
              <w:rPr>
                <w:b/>
                <w:color w:val="FFFFFF"/>
                <w:sz w:val="20"/>
              </w:rPr>
              <w:t>Probability</w:t>
            </w:r>
          </w:p>
        </w:tc>
        <w:tc>
          <w:tcPr>
            <w:tcW w:w="1440" w:type="dxa"/>
            <w:shd w:val="clear" w:color="auto" w:fill="2E5C8A"/>
          </w:tcPr>
          <w:p w14:paraId="10C3B21E" w14:textId="77777777" w:rsidR="000B5371" w:rsidRDefault="00000000">
            <w:pPr>
              <w:jc w:val="center"/>
            </w:pPr>
            <w:r>
              <w:rPr>
                <w:b/>
                <w:color w:val="FFFFFF"/>
                <w:sz w:val="20"/>
              </w:rPr>
              <w:t>Fit</w:t>
            </w:r>
          </w:p>
        </w:tc>
        <w:tc>
          <w:tcPr>
            <w:tcW w:w="1440" w:type="dxa"/>
            <w:shd w:val="clear" w:color="auto" w:fill="2E5C8A"/>
          </w:tcPr>
          <w:p w14:paraId="3E94EA50" w14:textId="77777777" w:rsidR="000B5371" w:rsidRDefault="00000000">
            <w:pPr>
              <w:jc w:val="center"/>
            </w:pPr>
            <w:r>
              <w:rPr>
                <w:b/>
                <w:color w:val="FFFFFF"/>
                <w:sz w:val="20"/>
              </w:rPr>
              <w:t>Return</w:t>
            </w:r>
          </w:p>
        </w:tc>
      </w:tr>
      <w:tr w:rsidR="000B5371" w14:paraId="1CDF961B" w14:textId="77777777">
        <w:tc>
          <w:tcPr>
            <w:tcW w:w="1440" w:type="dxa"/>
          </w:tcPr>
          <w:p w14:paraId="4A3163E9" w14:textId="77777777" w:rsidR="000B5371" w:rsidRDefault="00000000">
            <w:pPr>
              <w:jc w:val="center"/>
            </w:pPr>
            <w:r>
              <w:rPr>
                <w:sz w:val="20"/>
              </w:rPr>
              <w:t>8</w:t>
            </w:r>
          </w:p>
        </w:tc>
        <w:tc>
          <w:tcPr>
            <w:tcW w:w="1440" w:type="dxa"/>
          </w:tcPr>
          <w:p w14:paraId="63D2CF43" w14:textId="77777777" w:rsidR="000B5371" w:rsidRDefault="00000000">
            <w:r>
              <w:rPr>
                <w:sz w:val="20"/>
              </w:rPr>
              <w:t>Infrastructure-First Bottleneck</w:t>
            </w:r>
          </w:p>
        </w:tc>
        <w:tc>
          <w:tcPr>
            <w:tcW w:w="1440" w:type="dxa"/>
          </w:tcPr>
          <w:p w14:paraId="29663394" w14:textId="77777777" w:rsidR="000B5371" w:rsidRDefault="00000000">
            <w:r>
              <w:rPr>
                <w:sz w:val="20"/>
              </w:rPr>
              <w:t>Power Delivery</w:t>
            </w:r>
          </w:p>
        </w:tc>
        <w:tc>
          <w:tcPr>
            <w:tcW w:w="1440" w:type="dxa"/>
          </w:tcPr>
          <w:p w14:paraId="50D5805E" w14:textId="77777777" w:rsidR="000B5371" w:rsidRDefault="00000000">
            <w:pPr>
              <w:jc w:val="center"/>
            </w:pPr>
            <w:r>
              <w:rPr>
                <w:sz w:val="20"/>
              </w:rPr>
              <w:t>5.2%</w:t>
            </w:r>
          </w:p>
        </w:tc>
        <w:tc>
          <w:tcPr>
            <w:tcW w:w="1440" w:type="dxa"/>
          </w:tcPr>
          <w:p w14:paraId="29AA7A8E" w14:textId="77777777" w:rsidR="000B5371" w:rsidRDefault="00000000">
            <w:pPr>
              <w:jc w:val="center"/>
            </w:pPr>
            <w:r>
              <w:rPr>
                <w:sz w:val="20"/>
              </w:rPr>
              <w:t>78</w:t>
            </w:r>
          </w:p>
        </w:tc>
        <w:tc>
          <w:tcPr>
            <w:tcW w:w="1440" w:type="dxa"/>
          </w:tcPr>
          <w:p w14:paraId="0C2C5C5A" w14:textId="77777777" w:rsidR="000B5371" w:rsidRDefault="00000000">
            <w:pPr>
              <w:jc w:val="center"/>
            </w:pPr>
            <w:r>
              <w:rPr>
                <w:sz w:val="20"/>
              </w:rPr>
              <w:t>+24%</w:t>
            </w:r>
          </w:p>
        </w:tc>
      </w:tr>
      <w:tr w:rsidR="000B5371" w14:paraId="1B83DA3F" w14:textId="77777777">
        <w:tc>
          <w:tcPr>
            <w:tcW w:w="1440" w:type="dxa"/>
          </w:tcPr>
          <w:p w14:paraId="488E4022" w14:textId="77777777" w:rsidR="000B5371" w:rsidRDefault="00000000">
            <w:pPr>
              <w:jc w:val="center"/>
            </w:pPr>
            <w:r>
              <w:rPr>
                <w:sz w:val="20"/>
              </w:rPr>
              <w:t>15</w:t>
            </w:r>
          </w:p>
        </w:tc>
        <w:tc>
          <w:tcPr>
            <w:tcW w:w="1440" w:type="dxa"/>
          </w:tcPr>
          <w:p w14:paraId="143F2648" w14:textId="77777777" w:rsidR="000B5371" w:rsidRDefault="00000000">
            <w:r>
              <w:rPr>
                <w:sz w:val="20"/>
              </w:rPr>
              <w:t>Infrastructure Crisis</w:t>
            </w:r>
          </w:p>
        </w:tc>
        <w:tc>
          <w:tcPr>
            <w:tcW w:w="1440" w:type="dxa"/>
          </w:tcPr>
          <w:p w14:paraId="55AC4809" w14:textId="77777777" w:rsidR="000B5371" w:rsidRDefault="00000000">
            <w:r>
              <w:rPr>
                <w:sz w:val="20"/>
              </w:rPr>
              <w:t>Grid Brownouts</w:t>
            </w:r>
          </w:p>
        </w:tc>
        <w:tc>
          <w:tcPr>
            <w:tcW w:w="1440" w:type="dxa"/>
          </w:tcPr>
          <w:p w14:paraId="4D545DBB" w14:textId="77777777" w:rsidR="000B5371" w:rsidRDefault="00000000">
            <w:pPr>
              <w:jc w:val="center"/>
            </w:pPr>
            <w:r>
              <w:rPr>
                <w:sz w:val="20"/>
              </w:rPr>
              <w:t>2.2%</w:t>
            </w:r>
          </w:p>
        </w:tc>
        <w:tc>
          <w:tcPr>
            <w:tcW w:w="1440" w:type="dxa"/>
          </w:tcPr>
          <w:p w14:paraId="389CAE51" w14:textId="77777777" w:rsidR="000B5371" w:rsidRDefault="00000000">
            <w:pPr>
              <w:jc w:val="center"/>
            </w:pPr>
            <w:r>
              <w:rPr>
                <w:sz w:val="20"/>
              </w:rPr>
              <w:t>68</w:t>
            </w:r>
          </w:p>
        </w:tc>
        <w:tc>
          <w:tcPr>
            <w:tcW w:w="1440" w:type="dxa"/>
          </w:tcPr>
          <w:p w14:paraId="6DD83C07" w14:textId="77777777" w:rsidR="000B5371" w:rsidRDefault="00000000">
            <w:pPr>
              <w:jc w:val="center"/>
            </w:pPr>
            <w:r>
              <w:rPr>
                <w:sz w:val="20"/>
              </w:rPr>
              <w:t>+12%</w:t>
            </w:r>
          </w:p>
        </w:tc>
      </w:tr>
      <w:tr w:rsidR="000B5371" w14:paraId="1A7228B1" w14:textId="77777777">
        <w:tc>
          <w:tcPr>
            <w:tcW w:w="1440" w:type="dxa"/>
          </w:tcPr>
          <w:p w14:paraId="2C58668C" w14:textId="77777777" w:rsidR="000B5371" w:rsidRDefault="00000000">
            <w:pPr>
              <w:jc w:val="center"/>
            </w:pPr>
            <w:r>
              <w:rPr>
                <w:sz w:val="20"/>
              </w:rPr>
              <w:t>19</w:t>
            </w:r>
          </w:p>
        </w:tc>
        <w:tc>
          <w:tcPr>
            <w:tcW w:w="1440" w:type="dxa"/>
          </w:tcPr>
          <w:p w14:paraId="5662E386" w14:textId="77777777" w:rsidR="000B5371" w:rsidRDefault="00000000">
            <w:r>
              <w:rPr>
                <w:sz w:val="20"/>
              </w:rPr>
              <w:t>Grid Crisis Catalyst</w:t>
            </w:r>
          </w:p>
        </w:tc>
        <w:tc>
          <w:tcPr>
            <w:tcW w:w="1440" w:type="dxa"/>
          </w:tcPr>
          <w:p w14:paraId="2ABF5D47" w14:textId="77777777" w:rsidR="000B5371" w:rsidRDefault="00000000">
            <w:r>
              <w:rPr>
                <w:sz w:val="20"/>
              </w:rPr>
              <w:t>Grid Capacity</w:t>
            </w:r>
          </w:p>
        </w:tc>
        <w:tc>
          <w:tcPr>
            <w:tcW w:w="1440" w:type="dxa"/>
          </w:tcPr>
          <w:p w14:paraId="0A6A3F38" w14:textId="77777777" w:rsidR="000B5371" w:rsidRDefault="00000000">
            <w:pPr>
              <w:jc w:val="center"/>
            </w:pPr>
            <w:r>
              <w:rPr>
                <w:sz w:val="20"/>
              </w:rPr>
              <w:t>3.9%</w:t>
            </w:r>
          </w:p>
        </w:tc>
        <w:tc>
          <w:tcPr>
            <w:tcW w:w="1440" w:type="dxa"/>
          </w:tcPr>
          <w:p w14:paraId="2907F354" w14:textId="77777777" w:rsidR="000B5371" w:rsidRDefault="00000000">
            <w:pPr>
              <w:jc w:val="center"/>
            </w:pPr>
            <w:r>
              <w:rPr>
                <w:sz w:val="20"/>
              </w:rPr>
              <w:t>72</w:t>
            </w:r>
          </w:p>
        </w:tc>
        <w:tc>
          <w:tcPr>
            <w:tcW w:w="1440" w:type="dxa"/>
          </w:tcPr>
          <w:p w14:paraId="310EA8E5" w14:textId="77777777" w:rsidR="000B5371" w:rsidRDefault="00000000">
            <w:pPr>
              <w:jc w:val="center"/>
            </w:pPr>
            <w:r>
              <w:rPr>
                <w:sz w:val="20"/>
              </w:rPr>
              <w:t>+15%</w:t>
            </w:r>
          </w:p>
        </w:tc>
      </w:tr>
      <w:tr w:rsidR="000B5371" w14:paraId="189A9DAD" w14:textId="77777777" w:rsidTr="007F5E64">
        <w:tc>
          <w:tcPr>
            <w:tcW w:w="1440" w:type="dxa"/>
          </w:tcPr>
          <w:p w14:paraId="288FDD6D" w14:textId="77777777" w:rsidR="000B5371" w:rsidRDefault="00000000">
            <w:r>
              <w:rPr>
                <w:b/>
                <w:sz w:val="20"/>
              </w:rPr>
              <w:t>Total</w:t>
            </w:r>
          </w:p>
        </w:tc>
        <w:tc>
          <w:tcPr>
            <w:tcW w:w="1440" w:type="dxa"/>
          </w:tcPr>
          <w:p w14:paraId="322E713F" w14:textId="77777777" w:rsidR="000B5371" w:rsidRDefault="00000000">
            <w:r>
              <w:rPr>
                <w:b/>
                <w:sz w:val="20"/>
              </w:rPr>
              <w:t>3 scenarios</w:t>
            </w:r>
          </w:p>
        </w:tc>
        <w:tc>
          <w:tcPr>
            <w:tcW w:w="1440" w:type="dxa"/>
          </w:tcPr>
          <w:p w14:paraId="3ABB3EC6" w14:textId="77777777" w:rsidR="000B5371" w:rsidRDefault="00000000">
            <w:r>
              <w:rPr>
                <w:sz w:val="20"/>
              </w:rPr>
              <w:t>—</w:t>
            </w:r>
          </w:p>
        </w:tc>
        <w:tc>
          <w:tcPr>
            <w:tcW w:w="1440" w:type="dxa"/>
          </w:tcPr>
          <w:p w14:paraId="3C64174F" w14:textId="77777777" w:rsidR="000B5371" w:rsidRDefault="00000000">
            <w:pPr>
              <w:jc w:val="center"/>
            </w:pPr>
            <w:r>
              <w:rPr>
                <w:b/>
                <w:sz w:val="20"/>
              </w:rPr>
              <w:t>11.3%</w:t>
            </w:r>
          </w:p>
        </w:tc>
        <w:tc>
          <w:tcPr>
            <w:tcW w:w="1440" w:type="dxa"/>
          </w:tcPr>
          <w:p w14:paraId="66DF0252" w14:textId="77777777" w:rsidR="000B5371" w:rsidRDefault="00000000">
            <w:pPr>
              <w:jc w:val="center"/>
            </w:pPr>
            <w:r>
              <w:rPr>
                <w:b/>
                <w:sz w:val="20"/>
              </w:rPr>
              <w:t>73 avg</w:t>
            </w:r>
          </w:p>
        </w:tc>
        <w:tc>
          <w:tcPr>
            <w:tcW w:w="1440" w:type="dxa"/>
          </w:tcPr>
          <w:p w14:paraId="1468EEB7" w14:textId="77777777" w:rsidR="000B5371" w:rsidRDefault="00000000">
            <w:pPr>
              <w:jc w:val="center"/>
            </w:pPr>
            <w:r>
              <w:rPr>
                <w:b/>
                <w:sz w:val="20"/>
              </w:rPr>
              <w:t>+17% avg</w:t>
            </w:r>
          </w:p>
        </w:tc>
      </w:tr>
    </w:tbl>
    <w:p w14:paraId="7E9FBC5A" w14:textId="77777777" w:rsidR="000B5371" w:rsidRDefault="00000000">
      <w:pPr>
        <w:spacing w:before="240"/>
      </w:pPr>
      <w:r>
        <w:rPr>
          <w:b/>
        </w:rPr>
        <w:t xml:space="preserve">Portfolio Assessment: </w:t>
      </w:r>
      <w:r>
        <w:t>Infrastructure hedge provides downside protection. Even with tech sector weakness (46.5% exposure), power infrastructure holdings (GEV, CEG, VST) benefit from crisis-driven federal intervention and regulatory fast-tracking. Portfolio still achieves positive returns despite adverse conditions.</w:t>
      </w:r>
    </w:p>
    <w:p w14:paraId="5109C5FA" w14:textId="77777777" w:rsidR="000B5371" w:rsidRDefault="00000000">
      <w:pPr>
        <w:pStyle w:val="Heading2"/>
      </w:pPr>
      <w:r>
        <w:t>Cluster 4: Stagflationary Tail Risks</w:t>
      </w:r>
    </w:p>
    <w:tbl>
      <w:tblPr>
        <w:tblW w:w="0" w:type="auto"/>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ook w:val="04A0" w:firstRow="1" w:lastRow="0" w:firstColumn="1" w:lastColumn="0" w:noHBand="0" w:noVBand="1"/>
      </w:tblPr>
      <w:tblGrid>
        <w:gridCol w:w="1354"/>
        <w:gridCol w:w="1706"/>
        <w:gridCol w:w="1439"/>
        <w:gridCol w:w="1418"/>
        <w:gridCol w:w="1339"/>
        <w:gridCol w:w="1374"/>
      </w:tblGrid>
      <w:tr w:rsidR="000B5371" w14:paraId="5E594A45" w14:textId="77777777">
        <w:tc>
          <w:tcPr>
            <w:tcW w:w="1440" w:type="dxa"/>
            <w:shd w:val="clear" w:color="auto" w:fill="2E5C8A"/>
          </w:tcPr>
          <w:p w14:paraId="7EFCD644" w14:textId="77777777" w:rsidR="000B5371" w:rsidRDefault="00000000">
            <w:pPr>
              <w:jc w:val="center"/>
            </w:pPr>
            <w:r>
              <w:rPr>
                <w:b/>
                <w:color w:val="FFFFFF"/>
                <w:sz w:val="20"/>
              </w:rPr>
              <w:t>Seq #</w:t>
            </w:r>
          </w:p>
        </w:tc>
        <w:tc>
          <w:tcPr>
            <w:tcW w:w="1440" w:type="dxa"/>
            <w:shd w:val="clear" w:color="auto" w:fill="2E5C8A"/>
          </w:tcPr>
          <w:p w14:paraId="44B4F5B9" w14:textId="77777777" w:rsidR="000B5371" w:rsidRDefault="00000000">
            <w:pPr>
              <w:jc w:val="center"/>
            </w:pPr>
            <w:r>
              <w:rPr>
                <w:b/>
                <w:color w:val="FFFFFF"/>
                <w:sz w:val="20"/>
              </w:rPr>
              <w:t>Scenario</w:t>
            </w:r>
          </w:p>
        </w:tc>
        <w:tc>
          <w:tcPr>
            <w:tcW w:w="1440" w:type="dxa"/>
            <w:shd w:val="clear" w:color="auto" w:fill="2E5C8A"/>
          </w:tcPr>
          <w:p w14:paraId="6D43A02F" w14:textId="77777777" w:rsidR="000B5371" w:rsidRDefault="00000000">
            <w:pPr>
              <w:jc w:val="center"/>
            </w:pPr>
            <w:r>
              <w:rPr>
                <w:b/>
                <w:color w:val="FFFFFF"/>
                <w:sz w:val="20"/>
              </w:rPr>
              <w:t>Constraint</w:t>
            </w:r>
          </w:p>
        </w:tc>
        <w:tc>
          <w:tcPr>
            <w:tcW w:w="1440" w:type="dxa"/>
            <w:shd w:val="clear" w:color="auto" w:fill="2E5C8A"/>
          </w:tcPr>
          <w:p w14:paraId="56650D14" w14:textId="77777777" w:rsidR="000B5371" w:rsidRDefault="00000000">
            <w:pPr>
              <w:jc w:val="center"/>
            </w:pPr>
            <w:r>
              <w:rPr>
                <w:b/>
                <w:color w:val="FFFFFF"/>
                <w:sz w:val="20"/>
              </w:rPr>
              <w:t>Probability</w:t>
            </w:r>
          </w:p>
        </w:tc>
        <w:tc>
          <w:tcPr>
            <w:tcW w:w="1440" w:type="dxa"/>
            <w:shd w:val="clear" w:color="auto" w:fill="2E5C8A"/>
          </w:tcPr>
          <w:p w14:paraId="7DB3A894" w14:textId="77777777" w:rsidR="000B5371" w:rsidRDefault="00000000">
            <w:pPr>
              <w:jc w:val="center"/>
            </w:pPr>
            <w:r>
              <w:rPr>
                <w:b/>
                <w:color w:val="FFFFFF"/>
                <w:sz w:val="20"/>
              </w:rPr>
              <w:t>Fit</w:t>
            </w:r>
          </w:p>
        </w:tc>
        <w:tc>
          <w:tcPr>
            <w:tcW w:w="1440" w:type="dxa"/>
            <w:shd w:val="clear" w:color="auto" w:fill="2E5C8A"/>
          </w:tcPr>
          <w:p w14:paraId="705740AE" w14:textId="77777777" w:rsidR="000B5371" w:rsidRDefault="00000000">
            <w:pPr>
              <w:jc w:val="center"/>
            </w:pPr>
            <w:r>
              <w:rPr>
                <w:b/>
                <w:color w:val="FFFFFF"/>
                <w:sz w:val="20"/>
              </w:rPr>
              <w:t>Return</w:t>
            </w:r>
          </w:p>
        </w:tc>
      </w:tr>
      <w:tr w:rsidR="000B5371" w14:paraId="0C9E12A4" w14:textId="77777777">
        <w:tc>
          <w:tcPr>
            <w:tcW w:w="1440" w:type="dxa"/>
          </w:tcPr>
          <w:p w14:paraId="22832B09" w14:textId="77777777" w:rsidR="000B5371" w:rsidRDefault="00000000">
            <w:pPr>
              <w:jc w:val="center"/>
            </w:pPr>
            <w:r>
              <w:rPr>
                <w:sz w:val="20"/>
              </w:rPr>
              <w:t>2</w:t>
            </w:r>
          </w:p>
        </w:tc>
        <w:tc>
          <w:tcPr>
            <w:tcW w:w="1440" w:type="dxa"/>
          </w:tcPr>
          <w:p w14:paraId="1D16B650" w14:textId="77777777" w:rsidR="000B5371" w:rsidRDefault="00000000">
            <w:r>
              <w:rPr>
                <w:sz w:val="20"/>
              </w:rPr>
              <w:t>Multidimensional Polarization</w:t>
            </w:r>
          </w:p>
        </w:tc>
        <w:tc>
          <w:tcPr>
            <w:tcW w:w="1440" w:type="dxa"/>
          </w:tcPr>
          <w:p w14:paraId="0B5CDDD4" w14:textId="77777777" w:rsidR="000B5371" w:rsidRDefault="00000000">
            <w:r>
              <w:rPr>
                <w:sz w:val="20"/>
              </w:rPr>
              <w:t>Labor Displacement</w:t>
            </w:r>
          </w:p>
        </w:tc>
        <w:tc>
          <w:tcPr>
            <w:tcW w:w="1440" w:type="dxa"/>
          </w:tcPr>
          <w:p w14:paraId="04B6BB6D" w14:textId="77777777" w:rsidR="000B5371" w:rsidRDefault="00000000">
            <w:pPr>
              <w:jc w:val="center"/>
            </w:pPr>
            <w:r>
              <w:rPr>
                <w:sz w:val="20"/>
              </w:rPr>
              <w:t>8.6%</w:t>
            </w:r>
          </w:p>
        </w:tc>
        <w:tc>
          <w:tcPr>
            <w:tcW w:w="1440" w:type="dxa"/>
          </w:tcPr>
          <w:p w14:paraId="7140FAEB" w14:textId="77777777" w:rsidR="000B5371" w:rsidRDefault="00000000">
            <w:pPr>
              <w:jc w:val="center"/>
            </w:pPr>
            <w:r>
              <w:rPr>
                <w:sz w:val="20"/>
              </w:rPr>
              <w:t>62</w:t>
            </w:r>
          </w:p>
        </w:tc>
        <w:tc>
          <w:tcPr>
            <w:tcW w:w="1440" w:type="dxa"/>
          </w:tcPr>
          <w:p w14:paraId="64E6FDA8" w14:textId="77777777" w:rsidR="000B5371" w:rsidRDefault="00000000">
            <w:pPr>
              <w:jc w:val="center"/>
            </w:pPr>
            <w:r>
              <w:rPr>
                <w:sz w:val="20"/>
              </w:rPr>
              <w:t>+10%</w:t>
            </w:r>
          </w:p>
        </w:tc>
      </w:tr>
      <w:tr w:rsidR="000B5371" w14:paraId="52D41805" w14:textId="77777777">
        <w:tc>
          <w:tcPr>
            <w:tcW w:w="1440" w:type="dxa"/>
          </w:tcPr>
          <w:p w14:paraId="273DD3AE" w14:textId="77777777" w:rsidR="000B5371" w:rsidRDefault="00000000">
            <w:pPr>
              <w:jc w:val="center"/>
            </w:pPr>
            <w:r>
              <w:rPr>
                <w:sz w:val="20"/>
              </w:rPr>
              <w:t>5</w:t>
            </w:r>
          </w:p>
        </w:tc>
        <w:tc>
          <w:tcPr>
            <w:tcW w:w="1440" w:type="dxa"/>
          </w:tcPr>
          <w:p w14:paraId="09EE733C" w14:textId="77777777" w:rsidR="000B5371" w:rsidRDefault="00000000">
            <w:r>
              <w:rPr>
                <w:sz w:val="20"/>
              </w:rPr>
              <w:t>Stagflationary Shock</w:t>
            </w:r>
          </w:p>
        </w:tc>
        <w:tc>
          <w:tcPr>
            <w:tcW w:w="1440" w:type="dxa"/>
          </w:tcPr>
          <w:p w14:paraId="1BC7810B" w14:textId="77777777" w:rsidR="000B5371" w:rsidRDefault="00000000">
            <w:r>
              <w:rPr>
                <w:sz w:val="20"/>
              </w:rPr>
              <w:t>Trade Policy</w:t>
            </w:r>
          </w:p>
        </w:tc>
        <w:tc>
          <w:tcPr>
            <w:tcW w:w="1440" w:type="dxa"/>
          </w:tcPr>
          <w:p w14:paraId="4FAE37F8" w14:textId="77777777" w:rsidR="000B5371" w:rsidRDefault="00000000">
            <w:pPr>
              <w:jc w:val="center"/>
            </w:pPr>
            <w:r>
              <w:rPr>
                <w:sz w:val="20"/>
              </w:rPr>
              <w:t>1.7%</w:t>
            </w:r>
          </w:p>
        </w:tc>
        <w:tc>
          <w:tcPr>
            <w:tcW w:w="1440" w:type="dxa"/>
          </w:tcPr>
          <w:p w14:paraId="69A60F0A" w14:textId="77777777" w:rsidR="000B5371" w:rsidRDefault="00000000">
            <w:pPr>
              <w:jc w:val="center"/>
            </w:pPr>
            <w:r>
              <w:rPr>
                <w:sz w:val="20"/>
              </w:rPr>
              <w:t>48</w:t>
            </w:r>
          </w:p>
        </w:tc>
        <w:tc>
          <w:tcPr>
            <w:tcW w:w="1440" w:type="dxa"/>
          </w:tcPr>
          <w:p w14:paraId="229BECB1" w14:textId="77777777" w:rsidR="000B5371" w:rsidRDefault="00000000">
            <w:pPr>
              <w:jc w:val="center"/>
            </w:pPr>
            <w:r>
              <w:rPr>
                <w:sz w:val="20"/>
              </w:rPr>
              <w:t>-8%</w:t>
            </w:r>
          </w:p>
        </w:tc>
      </w:tr>
      <w:tr w:rsidR="000B5371" w14:paraId="52F3C1CA" w14:textId="77777777">
        <w:tc>
          <w:tcPr>
            <w:tcW w:w="1440" w:type="dxa"/>
          </w:tcPr>
          <w:p w14:paraId="2DAA49DD" w14:textId="77777777" w:rsidR="000B5371" w:rsidRDefault="00000000">
            <w:pPr>
              <w:jc w:val="center"/>
            </w:pPr>
            <w:r>
              <w:rPr>
                <w:sz w:val="20"/>
              </w:rPr>
              <w:t>11</w:t>
            </w:r>
          </w:p>
        </w:tc>
        <w:tc>
          <w:tcPr>
            <w:tcW w:w="1440" w:type="dxa"/>
          </w:tcPr>
          <w:p w14:paraId="78E07926" w14:textId="77777777" w:rsidR="000B5371" w:rsidRDefault="00000000">
            <w:r>
              <w:rPr>
                <w:sz w:val="20"/>
              </w:rPr>
              <w:t>Constraint Cascade</w:t>
            </w:r>
          </w:p>
        </w:tc>
        <w:tc>
          <w:tcPr>
            <w:tcW w:w="1440" w:type="dxa"/>
          </w:tcPr>
          <w:p w14:paraId="5694AD26" w14:textId="77777777" w:rsidR="000B5371" w:rsidRDefault="00000000">
            <w:r>
              <w:rPr>
                <w:sz w:val="20"/>
              </w:rPr>
              <w:t>Multi-Constraint</w:t>
            </w:r>
          </w:p>
        </w:tc>
        <w:tc>
          <w:tcPr>
            <w:tcW w:w="1440" w:type="dxa"/>
          </w:tcPr>
          <w:p w14:paraId="20C37EDF" w14:textId="77777777" w:rsidR="000B5371" w:rsidRDefault="00000000">
            <w:pPr>
              <w:jc w:val="center"/>
            </w:pPr>
            <w:r>
              <w:rPr>
                <w:sz w:val="20"/>
              </w:rPr>
              <w:t>1.7%</w:t>
            </w:r>
          </w:p>
        </w:tc>
        <w:tc>
          <w:tcPr>
            <w:tcW w:w="1440" w:type="dxa"/>
          </w:tcPr>
          <w:p w14:paraId="06E6F25A" w14:textId="77777777" w:rsidR="000B5371" w:rsidRDefault="00000000">
            <w:pPr>
              <w:jc w:val="center"/>
            </w:pPr>
            <w:r>
              <w:rPr>
                <w:sz w:val="20"/>
              </w:rPr>
              <w:t>58</w:t>
            </w:r>
          </w:p>
        </w:tc>
        <w:tc>
          <w:tcPr>
            <w:tcW w:w="1440" w:type="dxa"/>
          </w:tcPr>
          <w:p w14:paraId="64EC2928" w14:textId="77777777" w:rsidR="000B5371" w:rsidRDefault="00000000">
            <w:pPr>
              <w:jc w:val="center"/>
            </w:pPr>
            <w:r>
              <w:rPr>
                <w:sz w:val="20"/>
              </w:rPr>
              <w:t>+2%</w:t>
            </w:r>
          </w:p>
        </w:tc>
      </w:tr>
      <w:tr w:rsidR="000B5371" w14:paraId="15C831DE" w14:textId="77777777">
        <w:tc>
          <w:tcPr>
            <w:tcW w:w="1440" w:type="dxa"/>
          </w:tcPr>
          <w:p w14:paraId="6C5E4F8D" w14:textId="77777777" w:rsidR="000B5371" w:rsidRDefault="00000000">
            <w:pPr>
              <w:jc w:val="center"/>
            </w:pPr>
            <w:r>
              <w:rPr>
                <w:sz w:val="20"/>
              </w:rPr>
              <w:t>16</w:t>
            </w:r>
          </w:p>
        </w:tc>
        <w:tc>
          <w:tcPr>
            <w:tcW w:w="1440" w:type="dxa"/>
          </w:tcPr>
          <w:p w14:paraId="791EC702" w14:textId="77777777" w:rsidR="000B5371" w:rsidRDefault="00000000">
            <w:r>
              <w:rPr>
                <w:sz w:val="20"/>
              </w:rPr>
              <w:t>Stagflation Trap</w:t>
            </w:r>
          </w:p>
        </w:tc>
        <w:tc>
          <w:tcPr>
            <w:tcW w:w="1440" w:type="dxa"/>
          </w:tcPr>
          <w:p w14:paraId="2CC5A26C" w14:textId="77777777" w:rsidR="000B5371" w:rsidRDefault="00000000">
            <w:r>
              <w:rPr>
                <w:sz w:val="20"/>
              </w:rPr>
              <w:t>Persistent Inflation</w:t>
            </w:r>
          </w:p>
        </w:tc>
        <w:tc>
          <w:tcPr>
            <w:tcW w:w="1440" w:type="dxa"/>
          </w:tcPr>
          <w:p w14:paraId="34F4C51A" w14:textId="77777777" w:rsidR="000B5371" w:rsidRDefault="00000000">
            <w:pPr>
              <w:jc w:val="center"/>
            </w:pPr>
            <w:r>
              <w:rPr>
                <w:sz w:val="20"/>
              </w:rPr>
              <w:t>1.7%</w:t>
            </w:r>
          </w:p>
        </w:tc>
        <w:tc>
          <w:tcPr>
            <w:tcW w:w="1440" w:type="dxa"/>
          </w:tcPr>
          <w:p w14:paraId="2D3A554E" w14:textId="77777777" w:rsidR="000B5371" w:rsidRDefault="00000000">
            <w:pPr>
              <w:jc w:val="center"/>
            </w:pPr>
            <w:r>
              <w:rPr>
                <w:sz w:val="20"/>
              </w:rPr>
              <w:t>45</w:t>
            </w:r>
          </w:p>
        </w:tc>
        <w:tc>
          <w:tcPr>
            <w:tcW w:w="1440" w:type="dxa"/>
          </w:tcPr>
          <w:p w14:paraId="31E76987" w14:textId="77777777" w:rsidR="000B5371" w:rsidRDefault="00000000">
            <w:pPr>
              <w:jc w:val="center"/>
            </w:pPr>
            <w:r>
              <w:rPr>
                <w:sz w:val="20"/>
              </w:rPr>
              <w:t>-12%</w:t>
            </w:r>
          </w:p>
        </w:tc>
      </w:tr>
      <w:tr w:rsidR="000B5371" w14:paraId="30AC642D" w14:textId="77777777" w:rsidTr="007F5E64">
        <w:tc>
          <w:tcPr>
            <w:tcW w:w="1440" w:type="dxa"/>
          </w:tcPr>
          <w:p w14:paraId="3C2DD29D" w14:textId="77777777" w:rsidR="000B5371" w:rsidRDefault="00000000">
            <w:r>
              <w:rPr>
                <w:b/>
                <w:sz w:val="20"/>
              </w:rPr>
              <w:t>Total</w:t>
            </w:r>
          </w:p>
        </w:tc>
        <w:tc>
          <w:tcPr>
            <w:tcW w:w="1440" w:type="dxa"/>
          </w:tcPr>
          <w:p w14:paraId="44F59705" w14:textId="77777777" w:rsidR="000B5371" w:rsidRDefault="00000000">
            <w:r>
              <w:rPr>
                <w:b/>
                <w:sz w:val="20"/>
              </w:rPr>
              <w:t>5 scenarios</w:t>
            </w:r>
          </w:p>
        </w:tc>
        <w:tc>
          <w:tcPr>
            <w:tcW w:w="1440" w:type="dxa"/>
          </w:tcPr>
          <w:p w14:paraId="1CAF6752" w14:textId="77777777" w:rsidR="000B5371" w:rsidRDefault="00000000">
            <w:r>
              <w:rPr>
                <w:sz w:val="20"/>
              </w:rPr>
              <w:t>—</w:t>
            </w:r>
          </w:p>
        </w:tc>
        <w:tc>
          <w:tcPr>
            <w:tcW w:w="1440" w:type="dxa"/>
          </w:tcPr>
          <w:p w14:paraId="101B79BA" w14:textId="77777777" w:rsidR="000B5371" w:rsidRDefault="00000000">
            <w:pPr>
              <w:jc w:val="center"/>
            </w:pPr>
            <w:r>
              <w:rPr>
                <w:b/>
                <w:sz w:val="20"/>
              </w:rPr>
              <w:t>15.0%</w:t>
            </w:r>
          </w:p>
        </w:tc>
        <w:tc>
          <w:tcPr>
            <w:tcW w:w="1440" w:type="dxa"/>
          </w:tcPr>
          <w:p w14:paraId="09198C3F" w14:textId="77777777" w:rsidR="000B5371" w:rsidRDefault="00000000">
            <w:pPr>
              <w:jc w:val="center"/>
            </w:pPr>
            <w:r>
              <w:rPr>
                <w:b/>
                <w:sz w:val="20"/>
              </w:rPr>
              <w:t>51 avg</w:t>
            </w:r>
          </w:p>
        </w:tc>
        <w:tc>
          <w:tcPr>
            <w:tcW w:w="1440" w:type="dxa"/>
          </w:tcPr>
          <w:p w14:paraId="3425FECA" w14:textId="77777777" w:rsidR="000B5371" w:rsidRDefault="00000000">
            <w:pPr>
              <w:jc w:val="center"/>
            </w:pPr>
            <w:r>
              <w:rPr>
                <w:b/>
                <w:sz w:val="20"/>
              </w:rPr>
              <w:t>-5% avg</w:t>
            </w:r>
          </w:p>
        </w:tc>
      </w:tr>
    </w:tbl>
    <w:p w14:paraId="608BCF30" w14:textId="77777777" w:rsidR="000B5371" w:rsidRDefault="00000000">
      <w:pPr>
        <w:spacing w:before="240"/>
      </w:pPr>
      <w:r>
        <w:rPr>
          <w:b/>
        </w:rPr>
        <w:t xml:space="preserve">Portfolio Assessment: </w:t>
      </w:r>
      <w:r>
        <w:t>Significant vulnerability. Portfolio's growth orientation (68.7% thesis-aligned) and limited defensive positions (15% healthcare/staples) provide insufficient protection against inflation &gt;3.0% plus restrictive Fed policy. This represents the primary downside risk, though probability is only 15.0% combined.</w:t>
      </w:r>
    </w:p>
    <w:p w14:paraId="6E985128" w14:textId="77777777" w:rsidR="000B5371" w:rsidRDefault="00000000">
      <w:r>
        <w:br w:type="page"/>
      </w:r>
    </w:p>
    <w:p w14:paraId="646E5ADF" w14:textId="77777777" w:rsidR="000B5371" w:rsidRDefault="00000000">
      <w:pPr>
        <w:pStyle w:val="Heading1"/>
      </w:pPr>
      <w:r>
        <w:lastRenderedPageBreak/>
        <w:t>RISK ANALYSIS</w:t>
      </w:r>
    </w:p>
    <w:p w14:paraId="78A11A10" w14:textId="77777777" w:rsidR="000B5371" w:rsidRDefault="00000000">
      <w:pPr>
        <w:pStyle w:val="Heading2"/>
      </w:pPr>
      <w:r>
        <w:t>Return Distribution Analysis</w:t>
      </w:r>
    </w:p>
    <w:tbl>
      <w:tblPr>
        <w:tblW w:w="0" w:type="auto"/>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ook w:val="04A0" w:firstRow="1" w:lastRow="0" w:firstColumn="1" w:lastColumn="0" w:noHBand="0" w:noVBand="1"/>
      </w:tblPr>
      <w:tblGrid>
        <w:gridCol w:w="2157"/>
        <w:gridCol w:w="2157"/>
        <w:gridCol w:w="2158"/>
        <w:gridCol w:w="2158"/>
      </w:tblGrid>
      <w:tr w:rsidR="000B5371" w14:paraId="4D936ADA" w14:textId="77777777" w:rsidTr="00D215A9">
        <w:trPr>
          <w:trHeight w:val="288"/>
        </w:trPr>
        <w:tc>
          <w:tcPr>
            <w:tcW w:w="2160" w:type="dxa"/>
            <w:shd w:val="clear" w:color="auto" w:fill="2E5C8A"/>
            <w:vAlign w:val="center"/>
          </w:tcPr>
          <w:p w14:paraId="5771DE15" w14:textId="77777777" w:rsidR="000B5371" w:rsidRDefault="00000000">
            <w:pPr>
              <w:jc w:val="center"/>
            </w:pPr>
            <w:r>
              <w:rPr>
                <w:b/>
                <w:color w:val="FFFFFF"/>
                <w:sz w:val="20"/>
              </w:rPr>
              <w:t>Return Bucket</w:t>
            </w:r>
          </w:p>
        </w:tc>
        <w:tc>
          <w:tcPr>
            <w:tcW w:w="2160" w:type="dxa"/>
            <w:shd w:val="clear" w:color="auto" w:fill="2E5C8A"/>
            <w:vAlign w:val="center"/>
          </w:tcPr>
          <w:p w14:paraId="4661B8A6" w14:textId="77777777" w:rsidR="000B5371" w:rsidRDefault="00000000">
            <w:pPr>
              <w:jc w:val="center"/>
            </w:pPr>
            <w:r>
              <w:rPr>
                <w:b/>
                <w:color w:val="FFFFFF"/>
                <w:sz w:val="20"/>
              </w:rPr>
              <w:t># Scenarios</w:t>
            </w:r>
          </w:p>
        </w:tc>
        <w:tc>
          <w:tcPr>
            <w:tcW w:w="2160" w:type="dxa"/>
            <w:shd w:val="clear" w:color="auto" w:fill="2E5C8A"/>
            <w:vAlign w:val="center"/>
          </w:tcPr>
          <w:p w14:paraId="2DF59D29" w14:textId="77777777" w:rsidR="000B5371" w:rsidRDefault="00000000">
            <w:pPr>
              <w:jc w:val="center"/>
            </w:pPr>
            <w:r>
              <w:rPr>
                <w:b/>
                <w:color w:val="FFFFFF"/>
                <w:sz w:val="20"/>
              </w:rPr>
              <w:t>Probability Mass</w:t>
            </w:r>
          </w:p>
        </w:tc>
        <w:tc>
          <w:tcPr>
            <w:tcW w:w="2160" w:type="dxa"/>
            <w:shd w:val="clear" w:color="auto" w:fill="2E5C8A"/>
            <w:vAlign w:val="center"/>
          </w:tcPr>
          <w:p w14:paraId="429AF41A" w14:textId="77777777" w:rsidR="000B5371" w:rsidRDefault="00000000">
            <w:pPr>
              <w:jc w:val="center"/>
            </w:pPr>
            <w:r>
              <w:rPr>
                <w:b/>
                <w:color w:val="FFFFFF"/>
                <w:sz w:val="20"/>
              </w:rPr>
              <w:t>Cumulative Probability</w:t>
            </w:r>
          </w:p>
        </w:tc>
      </w:tr>
      <w:tr w:rsidR="000B5371" w14:paraId="00AEE124" w14:textId="77777777" w:rsidTr="00D215A9">
        <w:trPr>
          <w:trHeight w:val="288"/>
        </w:trPr>
        <w:tc>
          <w:tcPr>
            <w:tcW w:w="2160" w:type="dxa"/>
            <w:vAlign w:val="center"/>
          </w:tcPr>
          <w:p w14:paraId="2B770C22" w14:textId="77777777" w:rsidR="000B5371" w:rsidRDefault="00000000">
            <w:r>
              <w:rPr>
                <w:b/>
                <w:sz w:val="20"/>
              </w:rPr>
              <w:t>+30% or higher</w:t>
            </w:r>
          </w:p>
        </w:tc>
        <w:tc>
          <w:tcPr>
            <w:tcW w:w="2160" w:type="dxa"/>
            <w:vAlign w:val="center"/>
          </w:tcPr>
          <w:p w14:paraId="11192D27" w14:textId="77777777" w:rsidR="000B5371" w:rsidRDefault="00000000">
            <w:pPr>
              <w:jc w:val="center"/>
            </w:pPr>
            <w:r>
              <w:rPr>
                <w:sz w:val="20"/>
              </w:rPr>
              <w:t>4</w:t>
            </w:r>
          </w:p>
        </w:tc>
        <w:tc>
          <w:tcPr>
            <w:tcW w:w="2160" w:type="dxa"/>
            <w:shd w:val="clear" w:color="auto" w:fill="E8F5E9"/>
            <w:vAlign w:val="center"/>
          </w:tcPr>
          <w:p w14:paraId="0DE5D882" w14:textId="77777777" w:rsidR="000B5371" w:rsidRDefault="00000000">
            <w:pPr>
              <w:jc w:val="center"/>
            </w:pPr>
            <w:r>
              <w:rPr>
                <w:sz w:val="20"/>
              </w:rPr>
              <w:t>19.2%</w:t>
            </w:r>
          </w:p>
        </w:tc>
        <w:tc>
          <w:tcPr>
            <w:tcW w:w="2160" w:type="dxa"/>
            <w:vAlign w:val="center"/>
          </w:tcPr>
          <w:p w14:paraId="45AFB490" w14:textId="77777777" w:rsidR="000B5371" w:rsidRDefault="00000000">
            <w:pPr>
              <w:jc w:val="center"/>
            </w:pPr>
            <w:r>
              <w:rPr>
                <w:sz w:val="20"/>
              </w:rPr>
              <w:t>19.2%</w:t>
            </w:r>
          </w:p>
        </w:tc>
      </w:tr>
      <w:tr w:rsidR="000B5371" w14:paraId="1704B5AC" w14:textId="77777777" w:rsidTr="00D215A9">
        <w:trPr>
          <w:trHeight w:val="288"/>
        </w:trPr>
        <w:tc>
          <w:tcPr>
            <w:tcW w:w="2160" w:type="dxa"/>
            <w:vAlign w:val="center"/>
          </w:tcPr>
          <w:p w14:paraId="4FFFD9F9" w14:textId="77777777" w:rsidR="000B5371" w:rsidRDefault="00000000">
            <w:r>
              <w:rPr>
                <w:sz w:val="20"/>
              </w:rPr>
              <w:t>+20% to +29%</w:t>
            </w:r>
          </w:p>
        </w:tc>
        <w:tc>
          <w:tcPr>
            <w:tcW w:w="2160" w:type="dxa"/>
            <w:vAlign w:val="center"/>
          </w:tcPr>
          <w:p w14:paraId="255A12A1" w14:textId="77777777" w:rsidR="000B5371" w:rsidRDefault="00000000">
            <w:pPr>
              <w:jc w:val="center"/>
            </w:pPr>
            <w:r>
              <w:rPr>
                <w:sz w:val="20"/>
              </w:rPr>
              <w:t>7</w:t>
            </w:r>
          </w:p>
        </w:tc>
        <w:tc>
          <w:tcPr>
            <w:tcW w:w="2160" w:type="dxa"/>
            <w:shd w:val="clear" w:color="auto" w:fill="E8F5E9"/>
            <w:vAlign w:val="center"/>
          </w:tcPr>
          <w:p w14:paraId="0B898262" w14:textId="77777777" w:rsidR="000B5371" w:rsidRDefault="00000000">
            <w:pPr>
              <w:jc w:val="center"/>
            </w:pPr>
            <w:r>
              <w:rPr>
                <w:sz w:val="20"/>
              </w:rPr>
              <w:t>38.9%</w:t>
            </w:r>
          </w:p>
        </w:tc>
        <w:tc>
          <w:tcPr>
            <w:tcW w:w="2160" w:type="dxa"/>
            <w:vAlign w:val="center"/>
          </w:tcPr>
          <w:p w14:paraId="355B9F8D" w14:textId="77777777" w:rsidR="000B5371" w:rsidRDefault="00000000">
            <w:pPr>
              <w:jc w:val="center"/>
            </w:pPr>
            <w:r>
              <w:rPr>
                <w:sz w:val="20"/>
              </w:rPr>
              <w:t>58.1%</w:t>
            </w:r>
          </w:p>
        </w:tc>
      </w:tr>
      <w:tr w:rsidR="000B5371" w14:paraId="3A76645F" w14:textId="77777777" w:rsidTr="007F5E64">
        <w:trPr>
          <w:trHeight w:val="288"/>
        </w:trPr>
        <w:tc>
          <w:tcPr>
            <w:tcW w:w="2160" w:type="dxa"/>
            <w:vAlign w:val="center"/>
          </w:tcPr>
          <w:p w14:paraId="2ABA4BF8" w14:textId="77777777" w:rsidR="000B5371" w:rsidRDefault="00000000">
            <w:r>
              <w:rPr>
                <w:sz w:val="20"/>
              </w:rPr>
              <w:t>+10% to +19%</w:t>
            </w:r>
          </w:p>
        </w:tc>
        <w:tc>
          <w:tcPr>
            <w:tcW w:w="2160" w:type="dxa"/>
            <w:vAlign w:val="center"/>
          </w:tcPr>
          <w:p w14:paraId="480143AF" w14:textId="77777777" w:rsidR="000B5371" w:rsidRDefault="00000000">
            <w:pPr>
              <w:jc w:val="center"/>
            </w:pPr>
            <w:r>
              <w:rPr>
                <w:sz w:val="20"/>
              </w:rPr>
              <w:t>5</w:t>
            </w:r>
          </w:p>
        </w:tc>
        <w:tc>
          <w:tcPr>
            <w:tcW w:w="2160" w:type="dxa"/>
            <w:vAlign w:val="center"/>
          </w:tcPr>
          <w:p w14:paraId="738E5B33" w14:textId="77777777" w:rsidR="000B5371" w:rsidRDefault="00000000">
            <w:pPr>
              <w:jc w:val="center"/>
            </w:pPr>
            <w:r>
              <w:rPr>
                <w:sz w:val="20"/>
              </w:rPr>
              <w:t>22.4%</w:t>
            </w:r>
          </w:p>
        </w:tc>
        <w:tc>
          <w:tcPr>
            <w:tcW w:w="2160" w:type="dxa"/>
            <w:vAlign w:val="center"/>
          </w:tcPr>
          <w:p w14:paraId="374DB06F" w14:textId="77777777" w:rsidR="000B5371" w:rsidRDefault="00000000">
            <w:pPr>
              <w:jc w:val="center"/>
            </w:pPr>
            <w:r>
              <w:rPr>
                <w:sz w:val="20"/>
              </w:rPr>
              <w:t>80.5%</w:t>
            </w:r>
          </w:p>
        </w:tc>
      </w:tr>
      <w:tr w:rsidR="000B5371" w14:paraId="27B42B83" w14:textId="77777777" w:rsidTr="007F5E64">
        <w:trPr>
          <w:trHeight w:val="288"/>
        </w:trPr>
        <w:tc>
          <w:tcPr>
            <w:tcW w:w="2160" w:type="dxa"/>
            <w:vAlign w:val="center"/>
          </w:tcPr>
          <w:p w14:paraId="6AF56661" w14:textId="77777777" w:rsidR="000B5371" w:rsidRDefault="00000000">
            <w:r>
              <w:rPr>
                <w:sz w:val="20"/>
              </w:rPr>
              <w:t>+0% to +9%</w:t>
            </w:r>
          </w:p>
        </w:tc>
        <w:tc>
          <w:tcPr>
            <w:tcW w:w="2160" w:type="dxa"/>
            <w:vAlign w:val="center"/>
          </w:tcPr>
          <w:p w14:paraId="63657738" w14:textId="77777777" w:rsidR="000B5371" w:rsidRDefault="00000000">
            <w:pPr>
              <w:jc w:val="center"/>
            </w:pPr>
            <w:r>
              <w:rPr>
                <w:sz w:val="20"/>
              </w:rPr>
              <w:t>3</w:t>
            </w:r>
          </w:p>
        </w:tc>
        <w:tc>
          <w:tcPr>
            <w:tcW w:w="2160" w:type="dxa"/>
            <w:vAlign w:val="center"/>
          </w:tcPr>
          <w:p w14:paraId="469B9368" w14:textId="77777777" w:rsidR="000B5371" w:rsidRDefault="00000000">
            <w:pPr>
              <w:jc w:val="center"/>
            </w:pPr>
            <w:r>
              <w:rPr>
                <w:sz w:val="20"/>
              </w:rPr>
              <w:t>13.7%</w:t>
            </w:r>
          </w:p>
        </w:tc>
        <w:tc>
          <w:tcPr>
            <w:tcW w:w="2160" w:type="dxa"/>
            <w:vAlign w:val="center"/>
          </w:tcPr>
          <w:p w14:paraId="5972E47B" w14:textId="77777777" w:rsidR="000B5371" w:rsidRDefault="00000000">
            <w:pPr>
              <w:jc w:val="center"/>
            </w:pPr>
            <w:r>
              <w:rPr>
                <w:sz w:val="20"/>
              </w:rPr>
              <w:t>94.2%</w:t>
            </w:r>
          </w:p>
        </w:tc>
      </w:tr>
      <w:tr w:rsidR="000B5371" w14:paraId="5D050A59" w14:textId="77777777" w:rsidTr="00D215A9">
        <w:trPr>
          <w:trHeight w:val="288"/>
        </w:trPr>
        <w:tc>
          <w:tcPr>
            <w:tcW w:w="2160" w:type="dxa"/>
            <w:vAlign w:val="center"/>
          </w:tcPr>
          <w:p w14:paraId="45F5F87C" w14:textId="77777777" w:rsidR="000B5371" w:rsidRDefault="00000000">
            <w:r>
              <w:rPr>
                <w:b/>
                <w:sz w:val="20"/>
              </w:rPr>
              <w:t>Negative</w:t>
            </w:r>
          </w:p>
        </w:tc>
        <w:tc>
          <w:tcPr>
            <w:tcW w:w="2160" w:type="dxa"/>
            <w:vAlign w:val="center"/>
          </w:tcPr>
          <w:p w14:paraId="084A9A39" w14:textId="77777777" w:rsidR="000B5371" w:rsidRDefault="00000000">
            <w:pPr>
              <w:jc w:val="center"/>
            </w:pPr>
            <w:r>
              <w:rPr>
                <w:sz w:val="20"/>
              </w:rPr>
              <w:t>2</w:t>
            </w:r>
          </w:p>
        </w:tc>
        <w:tc>
          <w:tcPr>
            <w:tcW w:w="2160" w:type="dxa"/>
            <w:shd w:val="clear" w:color="auto" w:fill="FFEBEE"/>
            <w:vAlign w:val="center"/>
          </w:tcPr>
          <w:p w14:paraId="310B22C6" w14:textId="77777777" w:rsidR="000B5371" w:rsidRDefault="00000000">
            <w:pPr>
              <w:jc w:val="center"/>
            </w:pPr>
            <w:r>
              <w:rPr>
                <w:sz w:val="20"/>
              </w:rPr>
              <w:t>5.8%</w:t>
            </w:r>
          </w:p>
        </w:tc>
        <w:tc>
          <w:tcPr>
            <w:tcW w:w="2160" w:type="dxa"/>
            <w:vAlign w:val="center"/>
          </w:tcPr>
          <w:p w14:paraId="1341C3E6" w14:textId="77777777" w:rsidR="000B5371" w:rsidRDefault="00000000">
            <w:pPr>
              <w:jc w:val="center"/>
            </w:pPr>
            <w:r>
              <w:rPr>
                <w:sz w:val="20"/>
              </w:rPr>
              <w:t>100.0%</w:t>
            </w:r>
          </w:p>
        </w:tc>
      </w:tr>
    </w:tbl>
    <w:p w14:paraId="256AD03A" w14:textId="77777777" w:rsidR="000B5371" w:rsidRDefault="00000000">
      <w:pPr>
        <w:pStyle w:val="Heading3"/>
      </w:pPr>
      <w:r>
        <w:t>Key Observations:</w:t>
      </w:r>
    </w:p>
    <w:p w14:paraId="0DC2F706" w14:textId="77777777" w:rsidR="000B5371" w:rsidRDefault="00000000">
      <w:pPr>
        <w:pStyle w:val="ListBullet"/>
      </w:pPr>
      <w:r>
        <w:t>58.1% probability of achieving +20% or higher returns</w:t>
      </w:r>
    </w:p>
    <w:p w14:paraId="0B8B4C44" w14:textId="77777777" w:rsidR="000B5371" w:rsidRDefault="00000000">
      <w:pPr>
        <w:pStyle w:val="ListBullet"/>
      </w:pPr>
      <w:r>
        <w:t>94.2% probability of positive returns (19 of 21 scenarios)</w:t>
      </w:r>
    </w:p>
    <w:p w14:paraId="79F9912F" w14:textId="77777777" w:rsidR="000B5371" w:rsidRDefault="00000000">
      <w:pPr>
        <w:pStyle w:val="ListBullet"/>
      </w:pPr>
      <w:r>
        <w:t>Only 5.8% probability of negative returns (tail-risk stagflation scenarios)</w:t>
      </w:r>
    </w:p>
    <w:p w14:paraId="7643B906" w14:textId="77777777" w:rsidR="000B5371" w:rsidRDefault="00000000">
      <w:pPr>
        <w:pStyle w:val="ListBullet"/>
      </w:pPr>
      <w:r>
        <w:t>Median return (+22%) below weighted average (+26.8%) indicates positive skew</w:t>
      </w:r>
    </w:p>
    <w:p w14:paraId="1F1E0C40" w14:textId="77777777" w:rsidR="000B5371" w:rsidRDefault="00000000">
      <w:pPr>
        <w:pStyle w:val="Heading2"/>
      </w:pPr>
      <w:r>
        <w:t>Downside Risk Assessment</w:t>
      </w:r>
    </w:p>
    <w:p w14:paraId="5EC8AA78" w14:textId="77777777" w:rsidR="000B5371" w:rsidRDefault="00000000">
      <w:r>
        <w:t>Scenarios returning less than +10% represent 19.5% of probability mass. The primary downside drivers are:</w:t>
      </w:r>
    </w:p>
    <w:p w14:paraId="5340B8C6" w14:textId="77777777" w:rsidR="000B5371" w:rsidRDefault="00000000">
      <w:r>
        <w:rPr>
          <w:b/>
        </w:rPr>
        <w:t xml:space="preserve">Inflation Persistence Above 3.0%: </w:t>
      </w:r>
      <w:r>
        <w:t>Appears in 4 of 8 downside scenarios, forcing restrictive Fed policy that compresses growth stock valuations.</w:t>
      </w:r>
    </w:p>
    <w:p w14:paraId="74FD7571" w14:textId="77777777" w:rsidR="000B5371" w:rsidRDefault="00000000">
      <w:r>
        <w:rPr>
          <w:b/>
        </w:rPr>
        <w:t xml:space="preserve">Capital Expenditure Collapse &gt;25%: </w:t>
      </w:r>
      <w:r>
        <w:t>Appears in 3 of 8 downside scenarios, crushing semiconductor exposure (NVDA, TSM, AMD, AVGO representing 15.9% of portfolio).</w:t>
      </w:r>
    </w:p>
    <w:p w14:paraId="3A8F775F" w14:textId="77777777" w:rsidR="000B5371" w:rsidRDefault="00000000">
      <w:r>
        <w:rPr>
          <w:b/>
        </w:rPr>
        <w:t xml:space="preserve">Credit Market Stress: </w:t>
      </w:r>
      <w:r>
        <w:t>Regional bank CRE losses resurface in 3 of 8 downside scenarios, creating contagion risk across financial markets.</w:t>
      </w:r>
    </w:p>
    <w:p w14:paraId="2CE35300" w14:textId="77777777" w:rsidR="000B5371" w:rsidRDefault="00000000">
      <w:r>
        <w:rPr>
          <w:b/>
        </w:rPr>
        <w:t xml:space="preserve">Political/Policy Paralysis: </w:t>
      </w:r>
      <w:r>
        <w:t>Appears in 3 of 8 downside scenarios, preventing infrastructure solutions and fiscal counter-cyclical response.</w:t>
      </w:r>
    </w:p>
    <w:p w14:paraId="27F3F886" w14:textId="77777777" w:rsidR="000B5371" w:rsidRDefault="00000000">
      <w:r>
        <w:br w:type="page"/>
      </w:r>
    </w:p>
    <w:p w14:paraId="5591F822" w14:textId="77777777" w:rsidR="000B5371" w:rsidRDefault="00000000">
      <w:pPr>
        <w:pStyle w:val="Heading1"/>
      </w:pPr>
      <w:r>
        <w:lastRenderedPageBreak/>
        <w:t>STRATEGIC RECOMMENDATIONS</w:t>
      </w:r>
    </w:p>
    <w:p w14:paraId="5BE906D1" w14:textId="77777777" w:rsidR="000B5371" w:rsidRDefault="00000000">
      <w:pPr>
        <w:pStyle w:val="Heading2"/>
      </w:pPr>
      <w:r>
        <w:t>Tactical Portfolio Adjustments</w:t>
      </w:r>
    </w:p>
    <w:p w14:paraId="15B7714C" w14:textId="77777777" w:rsidR="000B5371" w:rsidRDefault="00000000">
      <w:r>
        <w:t>Based on scenario analysis, the following tactical adjustments would improve risk-adjusted returns across the scenario distribution:</w:t>
      </w:r>
    </w:p>
    <w:p w14:paraId="39821D44" w14:textId="77777777" w:rsidR="000B5371" w:rsidRDefault="00000000">
      <w:pPr>
        <w:pStyle w:val="Heading3"/>
      </w:pPr>
      <w:r>
        <w:t>Priority 1: Enhance Stagflation Protection</w:t>
      </w:r>
    </w:p>
    <w:p w14:paraId="4FA99D6F" w14:textId="77777777" w:rsidR="000B5371" w:rsidRDefault="00000000">
      <w:r>
        <w:rPr>
          <w:b/>
        </w:rPr>
        <w:t xml:space="preserve">Objective: </w:t>
      </w:r>
      <w:r>
        <w:t>Reduce downside from -8% to +3% in stagflation scenarios (4.7% combined probability) with minimal base case cost.</w:t>
      </w:r>
    </w:p>
    <w:p w14:paraId="39097C19" w14:textId="77777777" w:rsidR="000B5371" w:rsidRDefault="00000000">
      <w:r>
        <w:rPr>
          <w:b/>
        </w:rPr>
        <w:t xml:space="preserve">Action: </w:t>
      </w:r>
      <w:r>
        <w:t>Add 2-3% energy infrastructure exposure by trimming low-return consumer positions (COST 1.3% → 0.5%, PG 0.8% → 0.3%, TTD 0.8% → 0%). Deploy proceeds into LNG (0.6% → 1.2%) or traditional energy (XOM, CVX).</w:t>
      </w:r>
    </w:p>
    <w:p w14:paraId="3BEA9D94" w14:textId="77777777" w:rsidR="000B5371" w:rsidRDefault="00000000">
      <w:r>
        <w:rPr>
          <w:b/>
        </w:rPr>
        <w:t xml:space="preserve">Impact: </w:t>
      </w:r>
      <w:r>
        <w:t>Stagflation scenarios improve from -8% average to +3% average. Base case scenarios minimally affected (energy still +12-16%). Weighted average return improves 0.4 percentage points.</w:t>
      </w:r>
    </w:p>
    <w:p w14:paraId="32AC1015" w14:textId="77777777" w:rsidR="000B5371" w:rsidRDefault="00000000">
      <w:pPr>
        <w:pStyle w:val="Heading3"/>
      </w:pPr>
      <w:r>
        <w:t>Priority 2: Increase High-Conviction Infrastructure</w:t>
      </w:r>
    </w:p>
    <w:p w14:paraId="0DF1BCE4" w14:textId="77777777" w:rsidR="000B5371" w:rsidRDefault="00000000">
      <w:r>
        <w:rPr>
          <w:b/>
        </w:rPr>
        <w:t xml:space="preserve">Objective: </w:t>
      </w:r>
      <w:r>
        <w:t>Maximize exposure to highest-scoring names in base case scenarios (41.1% probability).</w:t>
      </w:r>
    </w:p>
    <w:p w14:paraId="0DE82057" w14:textId="77777777" w:rsidR="000B5371" w:rsidRDefault="00000000">
      <w:r>
        <w:rPr>
          <w:b/>
        </w:rPr>
        <w:t xml:space="preserve">Action: </w:t>
      </w:r>
      <w:r>
        <w:t>Build GEV (4.0% → 5.5%), CEG (1.6% → 2.5%), ANET (2.0% → 3.0%). Source capital from MSFT trim (5.4% → 4.0%), NFLX trim (3.4% → 2.5%), GE reassessment (3.3% → 2.5% if dual-use thesis doesn't justify size).</w:t>
      </w:r>
    </w:p>
    <w:p w14:paraId="1D2D7536" w14:textId="77777777" w:rsidR="000B5371" w:rsidRDefault="00000000">
      <w:r>
        <w:rPr>
          <w:b/>
        </w:rPr>
        <w:t xml:space="preserve">Impact: </w:t>
      </w:r>
      <w:r>
        <w:t>Base case scenarios improve from +30% to +32% average. Infrastructure crisis scenarios improve from +17% to +20%. Weighted average return improves 0.7 percentage points.</w:t>
      </w:r>
    </w:p>
    <w:p w14:paraId="73F656A8" w14:textId="77777777" w:rsidR="000B5371" w:rsidRDefault="00000000">
      <w:pPr>
        <w:pStyle w:val="Heading3"/>
      </w:pPr>
      <w:r>
        <w:t>Priority 3: Add Modest Defensive Exposure</w:t>
      </w:r>
    </w:p>
    <w:p w14:paraId="4C675428" w14:textId="77777777" w:rsidR="000B5371" w:rsidRDefault="00000000">
      <w:r>
        <w:rPr>
          <w:b/>
        </w:rPr>
        <w:t xml:space="preserve">Objective: </w:t>
      </w:r>
      <w:r>
        <w:t>Improve downside protection in constraint cascade scenario (1.7% probability, currently +2% return).</w:t>
      </w:r>
    </w:p>
    <w:p w14:paraId="33145661" w14:textId="77777777" w:rsidR="000B5371" w:rsidRDefault="00000000">
      <w:r>
        <w:rPr>
          <w:b/>
        </w:rPr>
        <w:t xml:space="preserve">Action: </w:t>
      </w:r>
      <w:r>
        <w:t>Increase healthcare/defensive from 15% to 18-20%. Build LLY (1.4% → 2.0%), UNH (1.6% → 2.2%), add defensive pharma/</w:t>
      </w:r>
      <w:proofErr w:type="spellStart"/>
      <w:r>
        <w:t>medtech</w:t>
      </w:r>
      <w:proofErr w:type="spellEnd"/>
      <w:r>
        <w:t>. Source from low-return consumer (DASH, ORLY small trims).</w:t>
      </w:r>
    </w:p>
    <w:p w14:paraId="2E428488" w14:textId="77777777" w:rsidR="000B5371" w:rsidRDefault="00000000">
      <w:r>
        <w:rPr>
          <w:b/>
        </w:rPr>
        <w:t xml:space="preserve">Impact: </w:t>
      </w:r>
      <w:r>
        <w:t>Downside scenarios improve from -5% average to -3% average across stagflation cluster. Constraint cascade improves from +2% to +5%. Weighted average return improves 0.2 percentage points.</w:t>
      </w:r>
    </w:p>
    <w:p w14:paraId="48E31F36" w14:textId="77777777" w:rsidR="000B5371" w:rsidRDefault="00000000">
      <w:r>
        <w:br w:type="page"/>
      </w:r>
    </w:p>
    <w:p w14:paraId="4C31313C" w14:textId="77777777" w:rsidR="000B5371" w:rsidRDefault="00000000">
      <w:pPr>
        <w:pStyle w:val="Heading2"/>
      </w:pPr>
      <w:r>
        <w:lastRenderedPageBreak/>
        <w:t>Scenario Monitoring Framework</w:t>
      </w:r>
    </w:p>
    <w:p w14:paraId="163AA3BD" w14:textId="77777777" w:rsidR="000B5371" w:rsidRDefault="00000000">
      <w:r>
        <w:t>The following early warning indicators signal probability shifts during 2026, enabling dynamic portfolio adjustments:</w:t>
      </w:r>
    </w:p>
    <w:tbl>
      <w:tblPr>
        <w:tblW w:w="0" w:type="auto"/>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ook w:val="04A0" w:firstRow="1" w:lastRow="0" w:firstColumn="1" w:lastColumn="0" w:noHBand="0" w:noVBand="1"/>
      </w:tblPr>
      <w:tblGrid>
        <w:gridCol w:w="2876"/>
        <w:gridCol w:w="2877"/>
        <w:gridCol w:w="2877"/>
      </w:tblGrid>
      <w:tr w:rsidR="000B5371" w14:paraId="3CC83458" w14:textId="77777777">
        <w:tc>
          <w:tcPr>
            <w:tcW w:w="2880" w:type="dxa"/>
            <w:shd w:val="clear" w:color="auto" w:fill="2E5C8A"/>
          </w:tcPr>
          <w:p w14:paraId="62A85470" w14:textId="77777777" w:rsidR="000B5371" w:rsidRDefault="00000000">
            <w:pPr>
              <w:jc w:val="center"/>
            </w:pPr>
            <w:r>
              <w:rPr>
                <w:b/>
                <w:color w:val="FFFFFF"/>
                <w:sz w:val="20"/>
              </w:rPr>
              <w:t>Scenario Cluster</w:t>
            </w:r>
          </w:p>
        </w:tc>
        <w:tc>
          <w:tcPr>
            <w:tcW w:w="2880" w:type="dxa"/>
            <w:shd w:val="clear" w:color="auto" w:fill="2E5C8A"/>
          </w:tcPr>
          <w:p w14:paraId="6EBC312A" w14:textId="77777777" w:rsidR="000B5371" w:rsidRDefault="00000000">
            <w:pPr>
              <w:jc w:val="center"/>
            </w:pPr>
            <w:r>
              <w:rPr>
                <w:b/>
                <w:color w:val="FFFFFF"/>
                <w:sz w:val="20"/>
              </w:rPr>
              <w:t>Bullish Signals (Increase Probability)</w:t>
            </w:r>
          </w:p>
        </w:tc>
        <w:tc>
          <w:tcPr>
            <w:tcW w:w="2880" w:type="dxa"/>
            <w:shd w:val="clear" w:color="auto" w:fill="2E5C8A"/>
          </w:tcPr>
          <w:p w14:paraId="44B7085A" w14:textId="77777777" w:rsidR="000B5371" w:rsidRDefault="00000000">
            <w:pPr>
              <w:jc w:val="center"/>
            </w:pPr>
            <w:r>
              <w:rPr>
                <w:b/>
                <w:color w:val="FFFFFF"/>
                <w:sz w:val="20"/>
              </w:rPr>
              <w:t>Recommended Action</w:t>
            </w:r>
          </w:p>
        </w:tc>
      </w:tr>
      <w:tr w:rsidR="000B5371" w14:paraId="3926115D" w14:textId="77777777">
        <w:tc>
          <w:tcPr>
            <w:tcW w:w="2880" w:type="dxa"/>
          </w:tcPr>
          <w:p w14:paraId="678CF107" w14:textId="77777777" w:rsidR="000B5371" w:rsidRDefault="00000000">
            <w:r>
              <w:rPr>
                <w:b/>
                <w:sz w:val="20"/>
              </w:rPr>
              <w:t>Infrastructure-Constrained Base Cases</w:t>
            </w:r>
          </w:p>
        </w:tc>
        <w:tc>
          <w:tcPr>
            <w:tcW w:w="2880" w:type="dxa"/>
          </w:tcPr>
          <w:p w14:paraId="25078A50" w14:textId="77777777" w:rsidR="000B5371" w:rsidRDefault="00000000">
            <w:r>
              <w:rPr>
                <w:sz w:val="20"/>
              </w:rPr>
              <w:t>AI power demand &gt;32 GW by Q2; Regional brownouts in Texas/CA; Interconnection queues &gt;5 years</w:t>
            </w:r>
          </w:p>
        </w:tc>
        <w:tc>
          <w:tcPr>
            <w:tcW w:w="2880" w:type="dxa"/>
          </w:tcPr>
          <w:p w14:paraId="2D51E0B3" w14:textId="77777777" w:rsidR="000B5371" w:rsidRDefault="00000000">
            <w:r>
              <w:rPr>
                <w:sz w:val="20"/>
              </w:rPr>
              <w:t>Add GEV, CEG, VST; Trim consumer discretionary</w:t>
            </w:r>
          </w:p>
        </w:tc>
      </w:tr>
      <w:tr w:rsidR="000B5371" w14:paraId="00049C15" w14:textId="77777777">
        <w:tc>
          <w:tcPr>
            <w:tcW w:w="2880" w:type="dxa"/>
          </w:tcPr>
          <w:p w14:paraId="0474EA91" w14:textId="77777777" w:rsidR="000B5371" w:rsidRDefault="00000000">
            <w:r>
              <w:rPr>
                <w:b/>
                <w:sz w:val="20"/>
              </w:rPr>
              <w:t>Productivity Breakthrough</w:t>
            </w:r>
          </w:p>
        </w:tc>
        <w:tc>
          <w:tcPr>
            <w:tcW w:w="2880" w:type="dxa"/>
          </w:tcPr>
          <w:p w14:paraId="14575E9F" w14:textId="77777777" w:rsidR="000B5371" w:rsidRDefault="00000000">
            <w:r>
              <w:rPr>
                <w:sz w:val="20"/>
              </w:rPr>
              <w:t>Enterprise AI seat growth &gt;40% Q/Q; Task automation &gt;45% in any major sector; Fortune 500 adoption accelerates</w:t>
            </w:r>
          </w:p>
        </w:tc>
        <w:tc>
          <w:tcPr>
            <w:tcW w:w="2880" w:type="dxa"/>
          </w:tcPr>
          <w:p w14:paraId="76D5B819" w14:textId="77777777" w:rsidR="000B5371" w:rsidRDefault="00000000">
            <w:r>
              <w:rPr>
                <w:sz w:val="20"/>
              </w:rPr>
              <w:t>Aggressively add NOW, GOOGL, MSFT; Trim defensive</w:t>
            </w:r>
          </w:p>
        </w:tc>
      </w:tr>
      <w:tr w:rsidR="000B5371" w14:paraId="10282031" w14:textId="77777777">
        <w:tc>
          <w:tcPr>
            <w:tcW w:w="2880" w:type="dxa"/>
          </w:tcPr>
          <w:p w14:paraId="4BE494FD" w14:textId="77777777" w:rsidR="000B5371" w:rsidRDefault="00000000">
            <w:r>
              <w:rPr>
                <w:b/>
                <w:sz w:val="20"/>
              </w:rPr>
              <w:t>Infrastructure Crisis</w:t>
            </w:r>
          </w:p>
        </w:tc>
        <w:tc>
          <w:tcPr>
            <w:tcW w:w="2880" w:type="dxa"/>
          </w:tcPr>
          <w:p w14:paraId="1B349311" w14:textId="77777777" w:rsidR="000B5371" w:rsidRDefault="00000000">
            <w:r>
              <w:rPr>
                <w:sz w:val="20"/>
              </w:rPr>
              <w:t>ERCOT reserve margin &lt;8%; Major data center outages &gt;15 days; Emergency federal intervention</w:t>
            </w:r>
          </w:p>
        </w:tc>
        <w:tc>
          <w:tcPr>
            <w:tcW w:w="2880" w:type="dxa"/>
          </w:tcPr>
          <w:p w14:paraId="4AFABCC1" w14:textId="77777777" w:rsidR="000B5371" w:rsidRDefault="00000000">
            <w:r>
              <w:rPr>
                <w:sz w:val="20"/>
              </w:rPr>
              <w:t>Hold infrastructure; Trim semiconductors; Add policy beneficiaries</w:t>
            </w:r>
          </w:p>
        </w:tc>
      </w:tr>
      <w:tr w:rsidR="000B5371" w14:paraId="7426DAE1" w14:textId="77777777">
        <w:tc>
          <w:tcPr>
            <w:tcW w:w="2880" w:type="dxa"/>
          </w:tcPr>
          <w:p w14:paraId="6E67B6BD" w14:textId="77777777" w:rsidR="000B5371" w:rsidRDefault="00000000">
            <w:r>
              <w:rPr>
                <w:b/>
                <w:sz w:val="20"/>
              </w:rPr>
              <w:t>Stagflation Scenarios</w:t>
            </w:r>
          </w:p>
        </w:tc>
        <w:tc>
          <w:tcPr>
            <w:tcW w:w="2880" w:type="dxa"/>
          </w:tcPr>
          <w:p w14:paraId="1BDA60AE" w14:textId="77777777" w:rsidR="000B5371" w:rsidRDefault="00000000">
            <w:r>
              <w:rPr>
                <w:sz w:val="20"/>
              </w:rPr>
              <w:t>Core PCE &gt;3.0% by Q2; Fed hikes or maintains restrictive stance; OPEC production cuts</w:t>
            </w:r>
          </w:p>
        </w:tc>
        <w:tc>
          <w:tcPr>
            <w:tcW w:w="2880" w:type="dxa"/>
          </w:tcPr>
          <w:p w14:paraId="23BBBBF8" w14:textId="77777777" w:rsidR="000B5371" w:rsidRDefault="00000000">
            <w:r>
              <w:rPr>
                <w:sz w:val="20"/>
              </w:rPr>
              <w:t>Emergency rotation to energy, commodities; Trim all growth</w:t>
            </w:r>
          </w:p>
        </w:tc>
      </w:tr>
    </w:tbl>
    <w:p w14:paraId="11A7D603" w14:textId="77777777" w:rsidR="000B5371" w:rsidRDefault="00000000">
      <w:pPr>
        <w:spacing w:before="360"/>
      </w:pPr>
      <w:r>
        <w:rPr>
          <w:b/>
        </w:rPr>
        <w:t>Critical Threshold to Monitor:</w:t>
      </w:r>
    </w:p>
    <w:p w14:paraId="6EC9F6B2" w14:textId="77777777" w:rsidR="000B5371" w:rsidRDefault="00000000">
      <w:r>
        <w:rPr>
          <w:i/>
        </w:rPr>
        <w:t>If Q2 2026 AI power demand exceeds 32 GW (vs. 35 GW forecast) without new transmission capacity, probability shifts +15% toward Grid Crisis scenarios (Seq 8, 15, 19) by July. Portfolio should increase infrastructure exposure proportionally.</w:t>
      </w:r>
    </w:p>
    <w:p w14:paraId="550A010D" w14:textId="77777777" w:rsidR="000B5371" w:rsidRDefault="00000000">
      <w:r>
        <w:br w:type="page"/>
      </w:r>
    </w:p>
    <w:p w14:paraId="7BD72942" w14:textId="77777777" w:rsidR="000B5371" w:rsidRDefault="00000000">
      <w:pPr>
        <w:pStyle w:val="Heading1"/>
      </w:pPr>
      <w:r>
        <w:lastRenderedPageBreak/>
        <w:t>CONCLUSION</w:t>
      </w:r>
    </w:p>
    <w:p w14:paraId="0856CB81" w14:textId="77777777" w:rsidR="000B5371" w:rsidRDefault="00000000">
      <w:r>
        <w:t>This scenario-based stress test validates the portfolio's strategic positioning while identifying tactical optimization opportunities.</w:t>
      </w:r>
    </w:p>
    <w:p w14:paraId="04C9D761" w14:textId="77777777" w:rsidR="000B5371" w:rsidRDefault="00000000">
      <w:pPr>
        <w:pStyle w:val="Heading2"/>
      </w:pPr>
      <w:r>
        <w:t>Final Assessment</w:t>
      </w:r>
    </w:p>
    <w:tbl>
      <w:tblPr>
        <w:tblW w:w="0" w:type="auto"/>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ook w:val="04A0" w:firstRow="1" w:lastRow="0" w:firstColumn="1" w:lastColumn="0" w:noHBand="0" w:noVBand="1"/>
      </w:tblPr>
      <w:tblGrid>
        <w:gridCol w:w="4315"/>
        <w:gridCol w:w="4315"/>
      </w:tblGrid>
      <w:tr w:rsidR="000B5371" w14:paraId="345A23B1" w14:textId="77777777">
        <w:tc>
          <w:tcPr>
            <w:tcW w:w="4320" w:type="dxa"/>
            <w:shd w:val="clear" w:color="auto" w:fill="2E5C8A"/>
          </w:tcPr>
          <w:p w14:paraId="4E584A9A" w14:textId="77777777" w:rsidR="000B5371" w:rsidRDefault="00000000">
            <w:pPr>
              <w:jc w:val="center"/>
            </w:pPr>
            <w:r>
              <w:rPr>
                <w:b/>
                <w:color w:val="FFFFFF"/>
                <w:sz w:val="20"/>
              </w:rPr>
              <w:t>Dimension</w:t>
            </w:r>
          </w:p>
        </w:tc>
        <w:tc>
          <w:tcPr>
            <w:tcW w:w="4320" w:type="dxa"/>
            <w:shd w:val="clear" w:color="auto" w:fill="2E5C8A"/>
          </w:tcPr>
          <w:p w14:paraId="2C32CFC9" w14:textId="77777777" w:rsidR="000B5371" w:rsidRDefault="00000000">
            <w:pPr>
              <w:jc w:val="center"/>
            </w:pPr>
            <w:r>
              <w:rPr>
                <w:b/>
                <w:color w:val="FFFFFF"/>
                <w:sz w:val="20"/>
              </w:rPr>
              <w:t>Assessment</w:t>
            </w:r>
          </w:p>
        </w:tc>
      </w:tr>
      <w:tr w:rsidR="000B5371" w14:paraId="5D09D0CC" w14:textId="77777777">
        <w:tc>
          <w:tcPr>
            <w:tcW w:w="4320" w:type="dxa"/>
          </w:tcPr>
          <w:p w14:paraId="011816B2" w14:textId="77777777" w:rsidR="000B5371" w:rsidRDefault="00000000">
            <w:r>
              <w:rPr>
                <w:b/>
                <w:sz w:val="20"/>
              </w:rPr>
              <w:t>Strategic Positioning</w:t>
            </w:r>
          </w:p>
        </w:tc>
        <w:tc>
          <w:tcPr>
            <w:tcW w:w="4320" w:type="dxa"/>
          </w:tcPr>
          <w:p w14:paraId="142B5287" w14:textId="77777777" w:rsidR="000B5371" w:rsidRDefault="00000000">
            <w:r>
              <w:rPr>
                <w:sz w:val="20"/>
              </w:rPr>
              <w:t>A+ (Excellent) — 74.2 weighted fit score demonstrates exceptional alignment with probability-weighted scenario distribution</w:t>
            </w:r>
          </w:p>
        </w:tc>
      </w:tr>
      <w:tr w:rsidR="000B5371" w14:paraId="5CF42E0B" w14:textId="77777777">
        <w:tc>
          <w:tcPr>
            <w:tcW w:w="4320" w:type="dxa"/>
          </w:tcPr>
          <w:p w14:paraId="5C9BF996" w14:textId="77777777" w:rsidR="000B5371" w:rsidRDefault="00000000">
            <w:r>
              <w:rPr>
                <w:b/>
                <w:sz w:val="20"/>
              </w:rPr>
              <w:t>Expected Return</w:t>
            </w:r>
          </w:p>
        </w:tc>
        <w:tc>
          <w:tcPr>
            <w:tcW w:w="4320" w:type="dxa"/>
          </w:tcPr>
          <w:p w14:paraId="66C2DF0F" w14:textId="77777777" w:rsidR="000B5371" w:rsidRDefault="00000000">
            <w:r>
              <w:rPr>
                <w:sz w:val="20"/>
              </w:rPr>
              <w:t>A+ (Excellent) — +26.8% weighted return represents 2.2x S&amp;P 500 baseline</w:t>
            </w:r>
          </w:p>
        </w:tc>
      </w:tr>
      <w:tr w:rsidR="000B5371" w14:paraId="33AFD91A" w14:textId="77777777">
        <w:tc>
          <w:tcPr>
            <w:tcW w:w="4320" w:type="dxa"/>
          </w:tcPr>
          <w:p w14:paraId="1E9755E8" w14:textId="77777777" w:rsidR="000B5371" w:rsidRDefault="00000000">
            <w:r>
              <w:rPr>
                <w:b/>
                <w:sz w:val="20"/>
              </w:rPr>
              <w:t>Downside Protection</w:t>
            </w:r>
          </w:p>
        </w:tc>
        <w:tc>
          <w:tcPr>
            <w:tcW w:w="4320" w:type="dxa"/>
          </w:tcPr>
          <w:p w14:paraId="2EC76D10" w14:textId="77777777" w:rsidR="000B5371" w:rsidRDefault="00000000">
            <w:r>
              <w:rPr>
                <w:sz w:val="20"/>
              </w:rPr>
              <w:t>A (Strong) — Positive returns in 94.2% of probability mass; tail risks limited to 5.8%</w:t>
            </w:r>
          </w:p>
        </w:tc>
      </w:tr>
      <w:tr w:rsidR="000B5371" w14:paraId="334DD028" w14:textId="77777777">
        <w:tc>
          <w:tcPr>
            <w:tcW w:w="4320" w:type="dxa"/>
          </w:tcPr>
          <w:p w14:paraId="7C288F8F" w14:textId="77777777" w:rsidR="000B5371" w:rsidRDefault="00000000">
            <w:r>
              <w:rPr>
                <w:b/>
                <w:sz w:val="20"/>
              </w:rPr>
              <w:t>Risk Management</w:t>
            </w:r>
          </w:p>
        </w:tc>
        <w:tc>
          <w:tcPr>
            <w:tcW w:w="4320" w:type="dxa"/>
          </w:tcPr>
          <w:p w14:paraId="3B186E57" w14:textId="77777777" w:rsidR="000B5371" w:rsidRDefault="00000000">
            <w:r>
              <w:rPr>
                <w:sz w:val="20"/>
              </w:rPr>
              <w:t>B+ (Good) — Infrastructure hedge provides crisis protection, but stagflation exposure remains</w:t>
            </w:r>
          </w:p>
        </w:tc>
      </w:tr>
      <w:tr w:rsidR="000B5371" w14:paraId="2092B1B0" w14:textId="77777777">
        <w:tc>
          <w:tcPr>
            <w:tcW w:w="4320" w:type="dxa"/>
          </w:tcPr>
          <w:p w14:paraId="4B374C1F" w14:textId="77777777" w:rsidR="000B5371" w:rsidRDefault="00000000">
            <w:r>
              <w:rPr>
                <w:b/>
                <w:sz w:val="20"/>
              </w:rPr>
              <w:t>Overall Grade</w:t>
            </w:r>
          </w:p>
        </w:tc>
        <w:tc>
          <w:tcPr>
            <w:tcW w:w="4320" w:type="dxa"/>
            <w:shd w:val="clear" w:color="auto" w:fill="E8F5E9"/>
          </w:tcPr>
          <w:p w14:paraId="237026F1" w14:textId="77777777" w:rsidR="000B5371" w:rsidRDefault="00000000">
            <w:r>
              <w:rPr>
                <w:b/>
                <w:sz w:val="20"/>
              </w:rPr>
              <w:t>A (Excellent)</w:t>
            </w:r>
          </w:p>
        </w:tc>
      </w:tr>
    </w:tbl>
    <w:p w14:paraId="36B76103" w14:textId="77777777" w:rsidR="000B5371" w:rsidRDefault="00000000">
      <w:pPr>
        <w:pStyle w:val="Heading3"/>
      </w:pPr>
      <w:r>
        <w:t>Key Conclusions:</w:t>
      </w:r>
    </w:p>
    <w:p w14:paraId="34119325" w14:textId="77777777" w:rsidR="000B5371" w:rsidRDefault="00000000">
      <w:r>
        <w:rPr>
          <w:b/>
        </w:rPr>
        <w:t xml:space="preserve">1. </w:t>
      </w:r>
      <w:r>
        <w:t>The portfolio achieves exceptional base case performance (85 avg fit, +30% avg return) in scenarios representing 41.1% of probability. This validates the thesis-driven construction approach.</w:t>
      </w:r>
    </w:p>
    <w:p w14:paraId="2146D13A" w14:textId="77777777" w:rsidR="000B5371" w:rsidRDefault="00000000">
      <w:r>
        <w:rPr>
          <w:b/>
        </w:rPr>
        <w:t xml:space="preserve">2. </w:t>
      </w:r>
      <w:r>
        <w:t>Infrastructure exposure (22.2%) provides critical hedge, limiting downside to +15-17% even in crisis scenarios vs. potential -5% without this positioning.</w:t>
      </w:r>
    </w:p>
    <w:p w14:paraId="34D56F4B" w14:textId="77777777" w:rsidR="000B5371" w:rsidRDefault="00000000">
      <w:r>
        <w:rPr>
          <w:b/>
        </w:rPr>
        <w:t xml:space="preserve">3. </w:t>
      </w:r>
      <w:r>
        <w:t xml:space="preserve">The </w:t>
      </w:r>
      <w:proofErr w:type="gramStart"/>
      <w:r>
        <w:t>-3.7 percentage</w:t>
      </w:r>
      <w:proofErr w:type="gramEnd"/>
      <w:r>
        <w:t xml:space="preserve"> point difference between base case (+30.5%) and scenario-weighted (+26.8%) return represents the cost of tail-risk protection—well-justified given 19.5% probability of &lt;10% return scenarios.</w:t>
      </w:r>
    </w:p>
    <w:p w14:paraId="7B1B6630" w14:textId="77777777" w:rsidR="000B5371" w:rsidRDefault="00000000">
      <w:r>
        <w:rPr>
          <w:b/>
        </w:rPr>
        <w:t xml:space="preserve">4. </w:t>
      </w:r>
      <w:r>
        <w:t>Tactical adjustments (enhanced stagflation protection, increased infrastructure, modest defensive addition) would improve weighted return from +26.8% to approximately +28.2% while reducing downside risk.</w:t>
      </w:r>
    </w:p>
    <w:p w14:paraId="652C2663" w14:textId="77777777" w:rsidR="000B5371" w:rsidRDefault="00000000">
      <w:pPr>
        <w:spacing w:before="360"/>
      </w:pPr>
      <w:r>
        <w:rPr>
          <w:b/>
          <w:color w:val="1F4E78"/>
          <w:sz w:val="24"/>
        </w:rPr>
        <w:t>Recommendation:</w:t>
      </w:r>
    </w:p>
    <w:p w14:paraId="69C993D5" w14:textId="77777777" w:rsidR="000B5371" w:rsidRDefault="00000000">
      <w:r>
        <w:t>Maintain current strategic positioning while implementing tactical adjustments outlined in Priority 1-3 recommendations. The portfolio demonstrates robust alignment with the most probable 2026 pathways and requires only minor optimization to enhance risk-adjusted returns across the full scenario distribution.</w:t>
      </w:r>
    </w:p>
    <w:p w14:paraId="2E790579" w14:textId="2C763AF8" w:rsidR="000B5371" w:rsidRDefault="000B5371"/>
    <w:sectPr w:rsidR="000B5371" w:rsidSect="00034616">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208D1" w14:textId="77777777" w:rsidR="008A0438" w:rsidRDefault="008A0438" w:rsidP="004713D1">
      <w:pPr>
        <w:spacing w:after="0" w:line="240" w:lineRule="auto"/>
      </w:pPr>
      <w:r>
        <w:separator/>
      </w:r>
    </w:p>
  </w:endnote>
  <w:endnote w:type="continuationSeparator" w:id="0">
    <w:p w14:paraId="338E68E0" w14:textId="77777777" w:rsidR="008A0438" w:rsidRDefault="008A0438" w:rsidP="00471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97956" w14:textId="5DD43283" w:rsidR="004713D1" w:rsidRPr="004713D1" w:rsidRDefault="004713D1" w:rsidP="004713D1">
    <w:pPr>
      <w:pStyle w:val="Footer"/>
      <w:tabs>
        <w:tab w:val="clear" w:pos="9360"/>
      </w:tabs>
      <w:ind w:right="-720"/>
      <w:jc w:val="right"/>
      <w:rPr>
        <w:rFonts w:ascii="Aptos" w:hAnsi="Aptos"/>
      </w:rPr>
    </w:pPr>
    <w:r w:rsidRPr="004713D1">
      <w:rPr>
        <w:rFonts w:ascii="Aptos" w:hAnsi="Aptos"/>
      </w:rPr>
      <w:t xml:space="preserve">Page </w:t>
    </w:r>
    <w:r w:rsidRPr="004713D1">
      <w:rPr>
        <w:rFonts w:ascii="Aptos" w:hAnsi="Aptos"/>
      </w:rPr>
      <w:fldChar w:fldCharType="begin"/>
    </w:r>
    <w:r w:rsidRPr="004713D1">
      <w:rPr>
        <w:rFonts w:ascii="Aptos" w:hAnsi="Aptos"/>
      </w:rPr>
      <w:instrText xml:space="preserve"> PAGE </w:instrText>
    </w:r>
    <w:r w:rsidRPr="004713D1">
      <w:rPr>
        <w:rFonts w:ascii="Aptos" w:hAnsi="Aptos"/>
      </w:rPr>
      <w:fldChar w:fldCharType="separate"/>
    </w:r>
    <w:r w:rsidRPr="004713D1">
      <w:rPr>
        <w:rFonts w:ascii="Aptos" w:hAnsi="Aptos"/>
        <w:noProof/>
      </w:rPr>
      <w:t>1</w:t>
    </w:r>
    <w:r w:rsidRPr="004713D1">
      <w:rPr>
        <w:rFonts w:ascii="Aptos" w:hAnsi="Aptos"/>
      </w:rPr>
      <w:fldChar w:fldCharType="end"/>
    </w:r>
    <w:r w:rsidRPr="004713D1">
      <w:rPr>
        <w:rFonts w:ascii="Aptos" w:hAnsi="Aptos"/>
      </w:rPr>
      <w:t xml:space="preserve"> of </w:t>
    </w:r>
    <w:r w:rsidRPr="004713D1">
      <w:rPr>
        <w:rFonts w:ascii="Aptos" w:hAnsi="Aptos"/>
      </w:rPr>
      <w:fldChar w:fldCharType="begin"/>
    </w:r>
    <w:r w:rsidRPr="004713D1">
      <w:rPr>
        <w:rFonts w:ascii="Aptos" w:hAnsi="Aptos"/>
      </w:rPr>
      <w:instrText xml:space="preserve"> NUMPAGES </w:instrText>
    </w:r>
    <w:r w:rsidRPr="004713D1">
      <w:rPr>
        <w:rFonts w:ascii="Aptos" w:hAnsi="Aptos"/>
      </w:rPr>
      <w:fldChar w:fldCharType="separate"/>
    </w:r>
    <w:r w:rsidRPr="004713D1">
      <w:rPr>
        <w:rFonts w:ascii="Aptos" w:hAnsi="Aptos"/>
        <w:noProof/>
      </w:rPr>
      <w:t>24</w:t>
    </w:r>
    <w:r w:rsidRPr="004713D1">
      <w:rPr>
        <w:rFonts w:ascii="Aptos" w:hAnsi="Apto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42C4E" w14:textId="77777777" w:rsidR="008A0438" w:rsidRDefault="008A0438" w:rsidP="004713D1">
      <w:pPr>
        <w:spacing w:after="0" w:line="240" w:lineRule="auto"/>
      </w:pPr>
      <w:r>
        <w:separator/>
      </w:r>
    </w:p>
  </w:footnote>
  <w:footnote w:type="continuationSeparator" w:id="0">
    <w:p w14:paraId="4C6F8B9D" w14:textId="77777777" w:rsidR="008A0438" w:rsidRDefault="008A0438" w:rsidP="00471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E84FB" w14:textId="3C14ECBD" w:rsidR="004713D1" w:rsidRPr="004713D1" w:rsidRDefault="004713D1" w:rsidP="004713D1">
    <w:pPr>
      <w:pStyle w:val="Header"/>
      <w:tabs>
        <w:tab w:val="clear" w:pos="4680"/>
        <w:tab w:val="clear" w:pos="9360"/>
        <w:tab w:val="center" w:pos="5220"/>
      </w:tabs>
      <w:ind w:right="-720"/>
      <w:jc w:val="right"/>
      <w:rPr>
        <w:rFonts w:ascii="Aptos" w:hAnsi="Aptos"/>
      </w:rPr>
    </w:pPr>
    <w:r w:rsidRPr="004713D1">
      <w:rPr>
        <w:rFonts w:ascii="Aptos" w:hAnsi="Aptos"/>
      </w:rPr>
      <w:t>Portfolio Stress Test</w:t>
    </w:r>
    <w:r>
      <w:rPr>
        <w:rFonts w:ascii="Aptos" w:hAnsi="Aptos"/>
      </w:rPr>
      <w:tab/>
      <w:t>1/30/2026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19612747">
    <w:abstractNumId w:val="8"/>
  </w:num>
  <w:num w:numId="2" w16cid:durableId="520820680">
    <w:abstractNumId w:val="6"/>
  </w:num>
  <w:num w:numId="3" w16cid:durableId="1676228603">
    <w:abstractNumId w:val="5"/>
  </w:num>
  <w:num w:numId="4" w16cid:durableId="1816335248">
    <w:abstractNumId w:val="4"/>
  </w:num>
  <w:num w:numId="5" w16cid:durableId="1130200935">
    <w:abstractNumId w:val="7"/>
  </w:num>
  <w:num w:numId="6" w16cid:durableId="1385373588">
    <w:abstractNumId w:val="3"/>
  </w:num>
  <w:num w:numId="7" w16cid:durableId="459735608">
    <w:abstractNumId w:val="2"/>
  </w:num>
  <w:num w:numId="8" w16cid:durableId="1178933689">
    <w:abstractNumId w:val="1"/>
  </w:num>
  <w:num w:numId="9" w16cid:durableId="2098211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6B51"/>
    <w:rsid w:val="0006063C"/>
    <w:rsid w:val="000A6179"/>
    <w:rsid w:val="000B5371"/>
    <w:rsid w:val="0015074B"/>
    <w:rsid w:val="001F6A72"/>
    <w:rsid w:val="00244386"/>
    <w:rsid w:val="00270E1B"/>
    <w:rsid w:val="0029639D"/>
    <w:rsid w:val="00326F90"/>
    <w:rsid w:val="0034397B"/>
    <w:rsid w:val="00380666"/>
    <w:rsid w:val="004713D1"/>
    <w:rsid w:val="004B5588"/>
    <w:rsid w:val="00541AD1"/>
    <w:rsid w:val="00586CA5"/>
    <w:rsid w:val="005B39FF"/>
    <w:rsid w:val="00651314"/>
    <w:rsid w:val="00762451"/>
    <w:rsid w:val="007C3275"/>
    <w:rsid w:val="007F5E64"/>
    <w:rsid w:val="00817887"/>
    <w:rsid w:val="00874379"/>
    <w:rsid w:val="008A0438"/>
    <w:rsid w:val="008F7BE5"/>
    <w:rsid w:val="0096789F"/>
    <w:rsid w:val="009F3FBC"/>
    <w:rsid w:val="00A46ADE"/>
    <w:rsid w:val="00AA1D8D"/>
    <w:rsid w:val="00AF3B8B"/>
    <w:rsid w:val="00B0794C"/>
    <w:rsid w:val="00B17D44"/>
    <w:rsid w:val="00B47730"/>
    <w:rsid w:val="00C31E3B"/>
    <w:rsid w:val="00C34F75"/>
    <w:rsid w:val="00C8310D"/>
    <w:rsid w:val="00CB0664"/>
    <w:rsid w:val="00CE10D6"/>
    <w:rsid w:val="00D215A9"/>
    <w:rsid w:val="00D231AC"/>
    <w:rsid w:val="00E12F19"/>
    <w:rsid w:val="00E53AED"/>
    <w:rsid w:val="00E87412"/>
    <w:rsid w:val="00ED22F8"/>
    <w:rsid w:val="00ED33BE"/>
    <w:rsid w:val="00F20376"/>
    <w:rsid w:val="00F655B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DEAEFB"/>
  <w14:defaultImageDpi w14:val="300"/>
  <w15:docId w15:val="{CFBB8E0E-87D3-4144-AAA3-8C9130E6E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F4E78"/>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2E5C8A"/>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375E97"/>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24</Pages>
  <Words>6472</Words>
  <Characters>40546</Characters>
  <Application>Microsoft Office Word</Application>
  <DocSecurity>0</DocSecurity>
  <Lines>1055</Lines>
  <Paragraphs>501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46482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Jeff Marr</cp:lastModifiedBy>
  <cp:revision>25</cp:revision>
  <cp:lastPrinted>2026-01-30T19:11:00Z</cp:lastPrinted>
  <dcterms:created xsi:type="dcterms:W3CDTF">2026-01-30T16:09:00Z</dcterms:created>
  <dcterms:modified xsi:type="dcterms:W3CDTF">2026-02-15T16:15:00Z</dcterms:modified>
  <cp:category/>
</cp:coreProperties>
</file>